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10D7FAA" w14:textId="416639D8" w:rsidR="00916640" w:rsidRPr="008D47A1" w:rsidRDefault="00EE4B71" w:rsidP="00122EDC">
      <w:pPr>
        <w:tabs>
          <w:tab w:val="left" w:pos="4590"/>
        </w:tabs>
        <w:jc w:val="center"/>
        <w:rPr>
          <w:rFonts w:ascii="Times New Roman" w:hAnsi="Times New Roman" w:cs="Times New Roman"/>
          <w:b/>
          <w:bCs/>
          <w:sz w:val="32"/>
          <w:szCs w:val="32"/>
        </w:rPr>
      </w:pPr>
      <w:r>
        <w:rPr>
          <w:rFonts w:ascii="Times New Roman" w:hAnsi="Times New Roman" w:cs="Times New Roman"/>
          <w:b/>
          <w:bCs/>
          <w:sz w:val="32"/>
          <w:szCs w:val="32"/>
        </w:rPr>
        <w:t>Transformer</w:t>
      </w:r>
      <w:r w:rsidR="00DA3603">
        <w:rPr>
          <w:rFonts w:ascii="Times New Roman" w:hAnsi="Times New Roman" w:cs="Times New Roman"/>
          <w:b/>
          <w:bCs/>
          <w:sz w:val="32"/>
          <w:szCs w:val="32"/>
        </w:rPr>
        <w:t xml:space="preserve"> Capacity Sizing</w:t>
      </w:r>
    </w:p>
    <w:p w14:paraId="6DC87540" w14:textId="3CA53D91" w:rsidR="008D47A1" w:rsidRDefault="008D47A1" w:rsidP="008D47A1">
      <w:pPr>
        <w:jc w:val="center"/>
        <w:rPr>
          <w:rFonts w:ascii="Times New Roman" w:hAnsi="Times New Roman" w:cs="Times New Roman"/>
        </w:rPr>
      </w:pPr>
      <w:r>
        <w:rPr>
          <w:rFonts w:ascii="Times New Roman" w:hAnsi="Times New Roman" w:cs="Times New Roman"/>
        </w:rPr>
        <w:t>Norbert Doerry</w:t>
      </w:r>
    </w:p>
    <w:p w14:paraId="3803BBE7" w14:textId="0F236639" w:rsidR="008D47A1" w:rsidRPr="008D47A1" w:rsidRDefault="00EE4B71" w:rsidP="008D47A1">
      <w:pPr>
        <w:jc w:val="center"/>
        <w:rPr>
          <w:rFonts w:ascii="Times New Roman" w:hAnsi="Times New Roman" w:cs="Times New Roman"/>
        </w:rPr>
      </w:pPr>
      <w:r>
        <w:rPr>
          <w:rFonts w:ascii="Times New Roman" w:hAnsi="Times New Roman" w:cs="Times New Roman"/>
        </w:rPr>
        <w:t>May 2</w:t>
      </w:r>
      <w:r w:rsidR="00C93341">
        <w:rPr>
          <w:rFonts w:ascii="Times New Roman" w:hAnsi="Times New Roman" w:cs="Times New Roman"/>
        </w:rPr>
        <w:t>, 2026</w:t>
      </w:r>
    </w:p>
    <w:p w14:paraId="25E850A8" w14:textId="7D869DAB" w:rsidR="00B237B7" w:rsidRDefault="008D47A1" w:rsidP="00B237B7">
      <w:pPr>
        <w:pStyle w:val="ListParagraph"/>
        <w:numPr>
          <w:ilvl w:val="0"/>
          <w:numId w:val="5"/>
        </w:numPr>
        <w:contextualSpacing w:val="0"/>
        <w:rPr>
          <w:rFonts w:ascii="Times New Roman" w:hAnsi="Times New Roman" w:cs="Times New Roman"/>
        </w:rPr>
      </w:pPr>
      <w:r>
        <w:rPr>
          <w:rFonts w:ascii="Times New Roman" w:hAnsi="Times New Roman" w:cs="Times New Roman"/>
        </w:rPr>
        <w:t xml:space="preserve"> Introduction</w:t>
      </w:r>
    </w:p>
    <w:p w14:paraId="7586D503" w14:textId="4F277EE3" w:rsidR="00BD31DD" w:rsidRDefault="00C5707E" w:rsidP="00C5707E">
      <w:pPr>
        <w:pStyle w:val="ListParagraph"/>
        <w:ind w:left="360"/>
        <w:contextualSpacing w:val="0"/>
        <w:jc w:val="both"/>
        <w:rPr>
          <w:rFonts w:ascii="Times New Roman" w:hAnsi="Times New Roman" w:cs="Times New Roman"/>
        </w:rPr>
      </w:pPr>
      <w:r>
        <w:rPr>
          <w:rFonts w:ascii="Times New Roman" w:hAnsi="Times New Roman" w:cs="Times New Roman"/>
        </w:rPr>
        <w:t xml:space="preserve">This document discusses determining the power rating </w:t>
      </w:r>
      <w:r w:rsidR="00745893">
        <w:rPr>
          <w:rFonts w:ascii="Times New Roman" w:hAnsi="Times New Roman" w:cs="Times New Roman"/>
        </w:rPr>
        <w:t xml:space="preserve">and redundancy requirements </w:t>
      </w:r>
      <w:r>
        <w:rPr>
          <w:rFonts w:ascii="Times New Roman" w:hAnsi="Times New Roman" w:cs="Times New Roman"/>
        </w:rPr>
        <w:t xml:space="preserve">of </w:t>
      </w:r>
      <w:r w:rsidR="00F36D2F">
        <w:rPr>
          <w:rFonts w:ascii="Times New Roman" w:hAnsi="Times New Roman" w:cs="Times New Roman"/>
        </w:rPr>
        <w:t xml:space="preserve">three-phase </w:t>
      </w:r>
      <w:r>
        <w:rPr>
          <w:rFonts w:ascii="Times New Roman" w:hAnsi="Times New Roman" w:cs="Times New Roman"/>
        </w:rPr>
        <w:t xml:space="preserve">power </w:t>
      </w:r>
      <w:r w:rsidR="00F36D2F">
        <w:rPr>
          <w:rFonts w:ascii="Times New Roman" w:hAnsi="Times New Roman" w:cs="Times New Roman"/>
        </w:rPr>
        <w:t>transformers</w:t>
      </w:r>
      <w:r>
        <w:rPr>
          <w:rFonts w:ascii="Times New Roman" w:hAnsi="Times New Roman" w:cs="Times New Roman"/>
        </w:rPr>
        <w:t xml:space="preserve"> used to connect two different </w:t>
      </w:r>
      <w:r w:rsidR="00F36D2F">
        <w:rPr>
          <w:rFonts w:ascii="Times New Roman" w:hAnsi="Times New Roman" w:cs="Times New Roman"/>
        </w:rPr>
        <w:t xml:space="preserve">ac </w:t>
      </w:r>
      <w:r>
        <w:rPr>
          <w:rFonts w:ascii="Times New Roman" w:hAnsi="Times New Roman" w:cs="Times New Roman"/>
        </w:rPr>
        <w:t xml:space="preserve">power distribution systems; it does not include </w:t>
      </w:r>
      <w:r w:rsidR="00F36D2F">
        <w:rPr>
          <w:rFonts w:ascii="Times New Roman" w:hAnsi="Times New Roman" w:cs="Times New Roman"/>
        </w:rPr>
        <w:t>transformers</w:t>
      </w:r>
      <w:r>
        <w:rPr>
          <w:rFonts w:ascii="Times New Roman" w:hAnsi="Times New Roman" w:cs="Times New Roman"/>
        </w:rPr>
        <w:t xml:space="preserve"> that serve a single (or a few loads) such as propulsion motor drives and variable speed drives.  </w:t>
      </w:r>
      <w:r w:rsidR="00F36D2F">
        <w:rPr>
          <w:rFonts w:ascii="Times New Roman" w:hAnsi="Times New Roman" w:cs="Times New Roman"/>
        </w:rPr>
        <w:t>Three phase power transformers are often implemented as three single-phase transformers with the primary and secondary windings connected in a delta configuration (</w:t>
      </w:r>
      <w:r w:rsidR="00F36D2F">
        <w:rPr>
          <w:rFonts w:ascii="Times New Roman" w:hAnsi="Times New Roman" w:cs="Times New Roman"/>
        </w:rPr>
        <w:fldChar w:fldCharType="begin"/>
      </w:r>
      <w:r w:rsidR="00F36D2F">
        <w:rPr>
          <w:rFonts w:ascii="Times New Roman" w:hAnsi="Times New Roman" w:cs="Times New Roman"/>
        </w:rPr>
        <w:instrText xml:space="preserve"> REF _Ref227922495 \h  \* MERGEFORMAT </w:instrText>
      </w:r>
      <w:r w:rsidR="00F36D2F">
        <w:rPr>
          <w:rFonts w:ascii="Times New Roman" w:hAnsi="Times New Roman" w:cs="Times New Roman"/>
        </w:rPr>
      </w:r>
      <w:r w:rsidR="00F36D2F">
        <w:rPr>
          <w:rFonts w:ascii="Times New Roman" w:hAnsi="Times New Roman" w:cs="Times New Roman"/>
        </w:rPr>
        <w:fldChar w:fldCharType="separate"/>
      </w:r>
      <w:r w:rsidR="00F36D2F" w:rsidRPr="00F36D2F">
        <w:rPr>
          <w:rFonts w:ascii="Times New Roman" w:hAnsi="Times New Roman" w:cs="Times New Roman"/>
        </w:rPr>
        <w:t>Figure 1</w:t>
      </w:r>
      <w:r w:rsidR="00F36D2F">
        <w:rPr>
          <w:rFonts w:ascii="Times New Roman" w:hAnsi="Times New Roman" w:cs="Times New Roman"/>
        </w:rPr>
        <w:fldChar w:fldCharType="end"/>
      </w:r>
      <w:r w:rsidR="00F36D2F">
        <w:rPr>
          <w:rFonts w:ascii="Times New Roman" w:hAnsi="Times New Roman" w:cs="Times New Roman"/>
        </w:rPr>
        <w:t>).  If a neutral connection is needed, the primary windings are typically connected in delta and the secondary in wye.  In some cases, a three</w:t>
      </w:r>
      <w:r w:rsidR="00574572">
        <w:rPr>
          <w:rFonts w:ascii="Times New Roman" w:hAnsi="Times New Roman" w:cs="Times New Roman"/>
        </w:rPr>
        <w:t>-</w:t>
      </w:r>
      <w:r w:rsidR="00F36D2F">
        <w:rPr>
          <w:rFonts w:ascii="Times New Roman" w:hAnsi="Times New Roman" w:cs="Times New Roman"/>
        </w:rPr>
        <w:t>phase transformer employing a common core is desirable.</w:t>
      </w:r>
    </w:p>
    <w:p w14:paraId="215A1319" w14:textId="590E31F5" w:rsidR="008C49FD" w:rsidRDefault="008C49FD" w:rsidP="008C49FD">
      <w:pPr>
        <w:pStyle w:val="ListParagraph"/>
        <w:ind w:left="360"/>
        <w:contextualSpacing w:val="0"/>
        <w:jc w:val="both"/>
        <w:rPr>
          <w:rFonts w:ascii="Times New Roman" w:hAnsi="Times New Roman" w:cs="Times New Roman"/>
        </w:rPr>
      </w:pPr>
      <w:r>
        <w:rPr>
          <w:rFonts w:ascii="Times New Roman" w:hAnsi="Times New Roman" w:cs="Times New Roman"/>
        </w:rPr>
        <w:t xml:space="preserve">Specific requirements </w:t>
      </w:r>
      <w:r w:rsidR="00574572">
        <w:rPr>
          <w:rFonts w:ascii="Times New Roman" w:hAnsi="Times New Roman" w:cs="Times New Roman"/>
        </w:rPr>
        <w:t xml:space="preserve">and recommendations </w:t>
      </w:r>
      <w:r>
        <w:rPr>
          <w:rFonts w:ascii="Times New Roman" w:hAnsi="Times New Roman" w:cs="Times New Roman"/>
        </w:rPr>
        <w:t>for power transformers are provided by 46 CFR 111, ABS MVR, and IEEE Std. 45.1.</w:t>
      </w:r>
    </w:p>
    <w:p w14:paraId="7F137858" w14:textId="32957FDD" w:rsidR="008C49FD" w:rsidRDefault="008C49FD" w:rsidP="00C5707E">
      <w:pPr>
        <w:pStyle w:val="ListParagraph"/>
        <w:ind w:left="360"/>
        <w:contextualSpacing w:val="0"/>
        <w:jc w:val="both"/>
        <w:rPr>
          <w:rFonts w:ascii="Times New Roman" w:hAnsi="Times New Roman" w:cs="Times New Roman"/>
        </w:rPr>
      </w:pPr>
      <w:r>
        <w:rPr>
          <w:rFonts w:ascii="Times New Roman" w:hAnsi="Times New Roman" w:cs="Times New Roman"/>
        </w:rPr>
        <w:t>46 CFR 111 states ….</w:t>
      </w:r>
    </w:p>
    <w:p w14:paraId="2496929A" w14:textId="332D8C69" w:rsidR="008C49FD" w:rsidRDefault="008C49FD" w:rsidP="008C49FD">
      <w:pPr>
        <w:pStyle w:val="ListParagraph"/>
        <w:ind w:right="720"/>
        <w:contextualSpacing w:val="0"/>
        <w:jc w:val="both"/>
        <w:rPr>
          <w:rFonts w:ascii="Times New Roman" w:hAnsi="Times New Roman" w:cs="Times New Roman"/>
        </w:rPr>
      </w:pPr>
      <w:r>
        <w:rPr>
          <w:rFonts w:ascii="Times New Roman" w:hAnsi="Times New Roman" w:cs="Times New Roman"/>
        </w:rPr>
        <w:t>“</w:t>
      </w:r>
      <w:r w:rsidRPr="008C49FD">
        <w:rPr>
          <w:rFonts w:ascii="Times New Roman" w:hAnsi="Times New Roman" w:cs="Times New Roman"/>
        </w:rPr>
        <w:t>If transformers are used to supply the ship's service distribution system required by this subpart for ships and mobile offshore drilling units, there must be at least two installed, independent power transformers. With the largest transformer out of service, the capacity of the remaining units must be sufficient to supply the ship service loads.</w:t>
      </w:r>
      <w:r>
        <w:rPr>
          <w:rFonts w:ascii="Times New Roman" w:hAnsi="Times New Roman" w:cs="Times New Roman"/>
        </w:rPr>
        <w:t>”</w:t>
      </w:r>
    </w:p>
    <w:p w14:paraId="075FE90F" w14:textId="146EF368" w:rsidR="00C5707E" w:rsidRDefault="00C5707E" w:rsidP="00BD31DD">
      <w:pPr>
        <w:pStyle w:val="ListParagraph"/>
        <w:ind w:left="360"/>
        <w:contextualSpacing w:val="0"/>
        <w:rPr>
          <w:rFonts w:ascii="Times New Roman" w:hAnsi="Times New Roman" w:cs="Times New Roman"/>
        </w:rPr>
      </w:pPr>
      <w:r>
        <w:rPr>
          <w:rFonts w:ascii="Times New Roman" w:hAnsi="Times New Roman" w:cs="Times New Roman"/>
        </w:rPr>
        <w:t>ABS MVR states:</w:t>
      </w:r>
    </w:p>
    <w:p w14:paraId="14493036" w14:textId="4523AE44" w:rsidR="00C5707E" w:rsidRDefault="00C5707E" w:rsidP="008C49FD">
      <w:pPr>
        <w:pStyle w:val="ListParagraph"/>
        <w:ind w:right="720"/>
        <w:contextualSpacing w:val="0"/>
        <w:jc w:val="both"/>
        <w:rPr>
          <w:rFonts w:ascii="Times New Roman" w:hAnsi="Times New Roman" w:cs="Times New Roman"/>
        </w:rPr>
      </w:pPr>
      <w:r>
        <w:rPr>
          <w:rFonts w:ascii="Times New Roman" w:hAnsi="Times New Roman" w:cs="Times New Roman"/>
        </w:rPr>
        <w:t>“</w:t>
      </w:r>
      <w:r w:rsidRPr="00C5707E">
        <w:rPr>
          <w:rFonts w:ascii="Times New Roman" w:hAnsi="Times New Roman" w:cs="Times New Roman"/>
        </w:rPr>
        <w:t>Where transformers and/or converters form a part of the vessel’s electrical system supplying to essential services and services necessary for minimum comfortable conditions of habitability, as defined in 4-8-1/7.3.3 and 4-8-1/7.3.4, the number and capacity of the transformers and/or converters is to be such that, with any one transformer or converter, or any one single phase of a transformer, out of service, the remaining transformers and/or converters or remaining phases of the transformer are capable of supplying power to these loads under normal seagoing conditions.</w:t>
      </w:r>
      <w:r>
        <w:rPr>
          <w:rFonts w:ascii="Times New Roman" w:hAnsi="Times New Roman" w:cs="Times New Roman"/>
        </w:rPr>
        <w:t>”</w:t>
      </w:r>
    </w:p>
    <w:p w14:paraId="2D0774C7" w14:textId="4F181645" w:rsidR="008C49FD" w:rsidRDefault="008C49FD" w:rsidP="008C49FD">
      <w:pPr>
        <w:pStyle w:val="ListParagraph"/>
        <w:ind w:left="360" w:right="720"/>
        <w:contextualSpacing w:val="0"/>
        <w:jc w:val="both"/>
        <w:rPr>
          <w:rFonts w:ascii="Times New Roman" w:hAnsi="Times New Roman" w:cs="Times New Roman"/>
        </w:rPr>
      </w:pPr>
      <w:r>
        <w:rPr>
          <w:rFonts w:ascii="Times New Roman" w:hAnsi="Times New Roman" w:cs="Times New Roman"/>
        </w:rPr>
        <w:t>IEEE Std. 45.1 states:</w:t>
      </w:r>
    </w:p>
    <w:p w14:paraId="3273C9BF" w14:textId="39B59CC4" w:rsidR="008C49FD" w:rsidRDefault="008C49FD" w:rsidP="008C49FD">
      <w:pPr>
        <w:pStyle w:val="ListParagraph"/>
        <w:ind w:right="720"/>
        <w:contextualSpacing w:val="0"/>
        <w:jc w:val="both"/>
        <w:rPr>
          <w:rFonts w:ascii="Times New Roman" w:hAnsi="Times New Roman" w:cs="Times New Roman"/>
        </w:rPr>
      </w:pPr>
      <w:r>
        <w:rPr>
          <w:rFonts w:ascii="Times New Roman" w:hAnsi="Times New Roman" w:cs="Times New Roman"/>
        </w:rPr>
        <w:t>“</w:t>
      </w:r>
      <w:r w:rsidRPr="008C49FD">
        <w:rPr>
          <w:rFonts w:ascii="Times New Roman" w:hAnsi="Times New Roman" w:cs="Times New Roman"/>
        </w:rPr>
        <w:t>The simultaneous paralleling of the primaries and the secondaries of two or more transformers is not recommended unless provisions are provided to limit circulating currents. These circulating currents should be included in load flow analyses and in calculating the required current ratings of switchgear and cables.</w:t>
      </w:r>
      <w:r>
        <w:rPr>
          <w:rFonts w:ascii="Times New Roman" w:hAnsi="Times New Roman" w:cs="Times New Roman"/>
        </w:rPr>
        <w:t>”</w:t>
      </w:r>
    </w:p>
    <w:p w14:paraId="022670A2" w14:textId="5CC36401" w:rsidR="008C49FD" w:rsidRDefault="008C49FD" w:rsidP="008C49FD">
      <w:pPr>
        <w:pStyle w:val="ListParagraph"/>
        <w:ind w:right="720"/>
        <w:contextualSpacing w:val="0"/>
        <w:jc w:val="both"/>
        <w:rPr>
          <w:rFonts w:ascii="Times New Roman" w:hAnsi="Times New Roman" w:cs="Times New Roman"/>
        </w:rPr>
      </w:pPr>
      <w:r>
        <w:rPr>
          <w:rFonts w:ascii="Times New Roman" w:hAnsi="Times New Roman" w:cs="Times New Roman"/>
        </w:rPr>
        <w:lastRenderedPageBreak/>
        <w:t>“</w:t>
      </w:r>
      <w:r w:rsidRPr="008C49FD">
        <w:rPr>
          <w:rFonts w:ascii="Times New Roman" w:hAnsi="Times New Roman" w:cs="Times New Roman"/>
        </w:rPr>
        <w:t>Power conversion equipment and transformers should have a power rating sufficient to satisfy the worst case anticipated load including margin and service life allowance.</w:t>
      </w:r>
      <w:r>
        <w:rPr>
          <w:rFonts w:ascii="Times New Roman" w:hAnsi="Times New Roman" w:cs="Times New Roman"/>
        </w:rPr>
        <w:t>”</w:t>
      </w:r>
    </w:p>
    <w:p w14:paraId="138EAC94" w14:textId="531D685D" w:rsidR="008C49FD" w:rsidRDefault="008C49FD" w:rsidP="008C49FD">
      <w:pPr>
        <w:pStyle w:val="ListParagraph"/>
        <w:ind w:right="720"/>
        <w:contextualSpacing w:val="0"/>
        <w:jc w:val="both"/>
        <w:rPr>
          <w:rFonts w:ascii="Times New Roman" w:hAnsi="Times New Roman" w:cs="Times New Roman"/>
        </w:rPr>
      </w:pPr>
      <w:r>
        <w:rPr>
          <w:rFonts w:ascii="Times New Roman" w:hAnsi="Times New Roman" w:cs="Times New Roman"/>
        </w:rPr>
        <w:t>“</w:t>
      </w:r>
      <w:r w:rsidRPr="008C49FD">
        <w:rPr>
          <w:rFonts w:ascii="Times New Roman" w:hAnsi="Times New Roman" w:cs="Times New Roman"/>
        </w:rPr>
        <w:t>Single-phase transformers are normally rated in kilovolt-amperes (megavolt-amperes) by multiplying the open-circuit voltage of the secondary by the full-load current, even though these two conditions do not happen at the same time. Hence, the actual number of kilovolt-amperes delivered by the transformer has to take into account the regulation of the transformer. Similarly, three-phase transformers are normally rated in kilovolt-amperes (megavolt-amperes) by multiplying the open-circuit line-to-line voltage by the full-load current and the square root of 3.</w:t>
      </w:r>
      <w:r>
        <w:rPr>
          <w:rFonts w:ascii="Times New Roman" w:hAnsi="Times New Roman" w:cs="Times New Roman"/>
        </w:rPr>
        <w:t>”</w:t>
      </w:r>
    </w:p>
    <w:p w14:paraId="013D8EA4" w14:textId="2A7A1532" w:rsidR="008C49FD" w:rsidRDefault="008C49FD" w:rsidP="008C49FD">
      <w:pPr>
        <w:pStyle w:val="ListParagraph"/>
        <w:ind w:right="720"/>
        <w:contextualSpacing w:val="0"/>
        <w:jc w:val="both"/>
        <w:rPr>
          <w:rFonts w:ascii="Times New Roman" w:hAnsi="Times New Roman" w:cs="Times New Roman"/>
        </w:rPr>
      </w:pPr>
      <w:r>
        <w:rPr>
          <w:rFonts w:ascii="Times New Roman" w:hAnsi="Times New Roman" w:cs="Times New Roman"/>
        </w:rPr>
        <w:t>“</w:t>
      </w:r>
      <w:r w:rsidRPr="008C49FD">
        <w:rPr>
          <w:rFonts w:ascii="Times New Roman" w:hAnsi="Times New Roman" w:cs="Times New Roman"/>
        </w:rPr>
        <w:t>The calculation of the worst-case anticipated load should account for the impact of cycling loads. Additionally, the ability of the power conversion and transformers to provide in-rush current to load equipment and to provide adequate, but not too much, fault current to enable proper coordination of circuit breakers should be evaluated.</w:t>
      </w:r>
      <w:r>
        <w:rPr>
          <w:rFonts w:ascii="Times New Roman" w:hAnsi="Times New Roman" w:cs="Times New Roman"/>
        </w:rPr>
        <w:t>”</w:t>
      </w:r>
    </w:p>
    <w:p w14:paraId="388205E5" w14:textId="14444BEC" w:rsidR="00574572" w:rsidRDefault="00574572" w:rsidP="008C49FD">
      <w:pPr>
        <w:pStyle w:val="ListParagraph"/>
        <w:ind w:right="720"/>
        <w:contextualSpacing w:val="0"/>
        <w:jc w:val="both"/>
        <w:rPr>
          <w:rFonts w:ascii="Times New Roman" w:hAnsi="Times New Roman" w:cs="Times New Roman"/>
        </w:rPr>
      </w:pPr>
      <w:r>
        <w:rPr>
          <w:rFonts w:ascii="Times New Roman" w:hAnsi="Times New Roman" w:cs="Times New Roman"/>
        </w:rPr>
        <w:t>“</w:t>
      </w:r>
      <w:r w:rsidRPr="00574572">
        <w:rPr>
          <w:rFonts w:ascii="Times New Roman" w:hAnsi="Times New Roman" w:cs="Times New Roman"/>
        </w:rPr>
        <w:t>Dry type transformers are recommended for shipboard applications.</w:t>
      </w:r>
      <w:r>
        <w:rPr>
          <w:rFonts w:ascii="Times New Roman" w:hAnsi="Times New Roman" w:cs="Times New Roman"/>
        </w:rPr>
        <w:t>”</w:t>
      </w:r>
    </w:p>
    <w:p w14:paraId="67A4B513" w14:textId="6472A895" w:rsidR="00574572" w:rsidRDefault="00574572" w:rsidP="008C49FD">
      <w:pPr>
        <w:pStyle w:val="ListParagraph"/>
        <w:ind w:right="720"/>
        <w:contextualSpacing w:val="0"/>
        <w:jc w:val="both"/>
        <w:rPr>
          <w:rFonts w:ascii="Times New Roman" w:hAnsi="Times New Roman" w:cs="Times New Roman"/>
        </w:rPr>
      </w:pPr>
      <w:r>
        <w:rPr>
          <w:rFonts w:ascii="Times New Roman" w:hAnsi="Times New Roman" w:cs="Times New Roman"/>
        </w:rPr>
        <w:t>“</w:t>
      </w:r>
      <w:r w:rsidRPr="00574572">
        <w:rPr>
          <w:rFonts w:ascii="Times New Roman" w:hAnsi="Times New Roman" w:cs="Times New Roman"/>
        </w:rPr>
        <w:t xml:space="preserve">When supplying nonlinear loads, transformers experience losses due to harmonic and other </w:t>
      </w:r>
      <w:proofErr w:type="spellStart"/>
      <w:r w:rsidRPr="00574572">
        <w:rPr>
          <w:rFonts w:ascii="Times New Roman" w:hAnsi="Times New Roman" w:cs="Times New Roman"/>
        </w:rPr>
        <w:t>non fundamental</w:t>
      </w:r>
      <w:proofErr w:type="spellEnd"/>
      <w:r w:rsidRPr="00574572">
        <w:rPr>
          <w:rFonts w:ascii="Times New Roman" w:hAnsi="Times New Roman" w:cs="Times New Roman"/>
        </w:rPr>
        <w:t xml:space="preserve"> frequency components of the current waveform. Resonance between transformer winding inductance and supply capacitance is a possibility that can cause additional losses. Also, there is the potential for laminated core vibrations that can generate unwanted audible noise. When supplying nonlinear loads where the ITHD is expected to be excessive, transformers should be de-rated.</w:t>
      </w:r>
      <w:r>
        <w:rPr>
          <w:rFonts w:ascii="Times New Roman" w:hAnsi="Times New Roman" w:cs="Times New Roman"/>
        </w:rPr>
        <w:t>”</w:t>
      </w:r>
    </w:p>
    <w:p w14:paraId="10D121ED" w14:textId="02ACB95C" w:rsidR="00574572" w:rsidRDefault="00574572" w:rsidP="008C49FD">
      <w:pPr>
        <w:pStyle w:val="ListParagraph"/>
        <w:ind w:right="720"/>
        <w:contextualSpacing w:val="0"/>
        <w:jc w:val="both"/>
        <w:rPr>
          <w:rFonts w:ascii="Times New Roman" w:hAnsi="Times New Roman" w:cs="Times New Roman"/>
        </w:rPr>
      </w:pPr>
      <w:r w:rsidRPr="00574572">
        <w:rPr>
          <w:rFonts w:ascii="Times New Roman" w:hAnsi="Times New Roman" w:cs="Times New Roman"/>
        </w:rPr>
        <w:t>“K-factor” calculations are a common method used when designing and selecting transformers for nonlinear loads. K-factor is a measure of the additional losses that harmonic currents create within the transformer. IEEE and IEC (IEEE Std C57.12.00, IEEE Std C57.12.90, or IEC 60076-1) have standards to de-rate transformers, and it is the responsibility of the cognizant engineer to determine the appropriate standard to use. Selecting a transformer with a K-factor rating no less than the K-factor rating of its load will help ensure that the transformer will not overheat due to harmonics. This will, however, have little or</w:t>
      </w:r>
      <w:r>
        <w:rPr>
          <w:rFonts w:ascii="Times New Roman" w:hAnsi="Times New Roman" w:cs="Times New Roman"/>
        </w:rPr>
        <w:t xml:space="preserve"> </w:t>
      </w:r>
      <w:r w:rsidRPr="00574572">
        <w:rPr>
          <w:rFonts w:ascii="Times New Roman" w:hAnsi="Times New Roman" w:cs="Times New Roman"/>
        </w:rPr>
        <w:t>no effect in reducing the voltage distortion introduced by the transformer due to the harmonic voltage drops across its impedance. To reduce voltage distortion, harmonic mitigating transformers should be considered.</w:t>
      </w:r>
      <w:r>
        <w:rPr>
          <w:rFonts w:ascii="Times New Roman" w:hAnsi="Times New Roman" w:cs="Times New Roman"/>
        </w:rPr>
        <w:t>”</w:t>
      </w:r>
    </w:p>
    <w:p w14:paraId="07B9129D" w14:textId="226A72D6" w:rsidR="00574572" w:rsidRDefault="00574572" w:rsidP="008C49FD">
      <w:pPr>
        <w:pStyle w:val="ListParagraph"/>
        <w:ind w:right="720"/>
        <w:contextualSpacing w:val="0"/>
        <w:jc w:val="both"/>
        <w:rPr>
          <w:rFonts w:ascii="Times New Roman" w:hAnsi="Times New Roman" w:cs="Times New Roman"/>
        </w:rPr>
      </w:pPr>
      <w:r>
        <w:rPr>
          <w:rFonts w:ascii="Times New Roman" w:hAnsi="Times New Roman" w:cs="Times New Roman"/>
        </w:rPr>
        <w:t>“</w:t>
      </w:r>
      <w:r w:rsidRPr="00574572">
        <w:rPr>
          <w:rFonts w:ascii="Times New Roman" w:hAnsi="Times New Roman" w:cs="Times New Roman"/>
        </w:rPr>
        <w:t xml:space="preserve">The number and rating of transformers supplying services and systems essential to the safety or propulsion of the ship should have sufficient capacity to ensure the operation of those services and systems even when one transformer is out of </w:t>
      </w:r>
      <w:r w:rsidRPr="00574572">
        <w:rPr>
          <w:rFonts w:ascii="Times New Roman" w:hAnsi="Times New Roman" w:cs="Times New Roman"/>
        </w:rPr>
        <w:lastRenderedPageBreak/>
        <w:t>service. Transformers should be either the three-phase type or the single-phase type, suitable for connection in a three-phase bank. All distribution and control transformers should have isolated primary and secondary windings. Transformers with electrostatic shielding between windings should be used in distribution systems containing nonlinear load devices or other sources of common-mode voltage or common-mode current.</w:t>
      </w:r>
      <w:r>
        <w:rPr>
          <w:rFonts w:ascii="Times New Roman" w:hAnsi="Times New Roman" w:cs="Times New Roman"/>
        </w:rPr>
        <w:t>”</w:t>
      </w:r>
    </w:p>
    <w:p w14:paraId="4C848BDE" w14:textId="0C9D82BF" w:rsidR="00F36D2F" w:rsidRDefault="00F36D2F" w:rsidP="00F36D2F">
      <w:pPr>
        <w:ind w:left="720" w:right="720"/>
        <w:jc w:val="center"/>
        <w:rPr>
          <w:rFonts w:ascii="Times New Roman" w:hAnsi="Times New Roman" w:cs="Times New Roman"/>
        </w:rPr>
      </w:pPr>
      <w:r>
        <w:rPr>
          <w:rFonts w:ascii="Times New Roman" w:hAnsi="Times New Roman" w:cs="Times New Roman"/>
          <w:noProof/>
        </w:rPr>
        <w:drawing>
          <wp:inline distT="0" distB="0" distL="0" distR="0" wp14:anchorId="7B9020F1" wp14:editId="6BE65EE7">
            <wp:extent cx="3467528" cy="2600647"/>
            <wp:effectExtent l="0" t="0" r="0" b="9525"/>
            <wp:docPr id="4145190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497744" cy="2623309"/>
                    </a:xfrm>
                    <a:prstGeom prst="rect">
                      <a:avLst/>
                    </a:prstGeom>
                    <a:noFill/>
                  </pic:spPr>
                </pic:pic>
              </a:graphicData>
            </a:graphic>
          </wp:inline>
        </w:drawing>
      </w:r>
    </w:p>
    <w:p w14:paraId="79DEB53B" w14:textId="6215DEED" w:rsidR="00F36D2F" w:rsidRPr="004642B5" w:rsidRDefault="00F36D2F" w:rsidP="00F36D2F">
      <w:pPr>
        <w:pStyle w:val="Caption"/>
        <w:rPr>
          <w:rFonts w:ascii="Times New Roman" w:hAnsi="Times New Roman" w:cs="Times New Roman"/>
        </w:rPr>
      </w:pPr>
      <w:bookmarkStart w:id="0" w:name="_Ref227922495"/>
      <w:r>
        <w:t xml:space="preserve">Figure </w:t>
      </w:r>
      <w:fldSimple w:instr=" SEQ Figure \* ARABIC ">
        <w:r>
          <w:rPr>
            <w:noProof/>
          </w:rPr>
          <w:t>1</w:t>
        </w:r>
      </w:fldSimple>
      <w:bookmarkEnd w:id="0"/>
      <w:r>
        <w:t>:  Transformer bank onboard USS Midway CV-41 (photo by Norbert Doerry)</w:t>
      </w:r>
    </w:p>
    <w:p w14:paraId="36C078E8" w14:textId="1245F211" w:rsidR="00BD31DD" w:rsidRDefault="007C6070" w:rsidP="00B237B7">
      <w:pPr>
        <w:pStyle w:val="ListParagraph"/>
        <w:numPr>
          <w:ilvl w:val="0"/>
          <w:numId w:val="5"/>
        </w:numPr>
        <w:contextualSpacing w:val="0"/>
        <w:rPr>
          <w:rFonts w:ascii="Times New Roman" w:hAnsi="Times New Roman" w:cs="Times New Roman"/>
        </w:rPr>
      </w:pPr>
      <w:r>
        <w:rPr>
          <w:rFonts w:ascii="Times New Roman" w:hAnsi="Times New Roman" w:cs="Times New Roman"/>
        </w:rPr>
        <w:t>Considerations</w:t>
      </w:r>
    </w:p>
    <w:p w14:paraId="6B641880" w14:textId="5A06FD23" w:rsidR="00BD31DD" w:rsidRDefault="00BD31DD" w:rsidP="00BD31DD">
      <w:pPr>
        <w:pStyle w:val="ListParagraph"/>
        <w:numPr>
          <w:ilvl w:val="1"/>
          <w:numId w:val="5"/>
        </w:numPr>
        <w:contextualSpacing w:val="0"/>
        <w:rPr>
          <w:rFonts w:ascii="Times New Roman" w:hAnsi="Times New Roman" w:cs="Times New Roman"/>
        </w:rPr>
      </w:pPr>
      <w:r>
        <w:rPr>
          <w:rFonts w:ascii="Times New Roman" w:hAnsi="Times New Roman" w:cs="Times New Roman"/>
        </w:rPr>
        <w:t>Load analysis</w:t>
      </w:r>
    </w:p>
    <w:p w14:paraId="1AB4B117" w14:textId="27EFF4D8" w:rsidR="001B4BB1" w:rsidRDefault="001B4BB1" w:rsidP="00B06ED5">
      <w:pPr>
        <w:ind w:left="360"/>
        <w:jc w:val="both"/>
        <w:rPr>
          <w:rFonts w:ascii="Times New Roman" w:hAnsi="Times New Roman" w:cs="Times New Roman"/>
        </w:rPr>
      </w:pPr>
      <w:r>
        <w:rPr>
          <w:rFonts w:ascii="Times New Roman" w:hAnsi="Times New Roman" w:cs="Times New Roman"/>
        </w:rPr>
        <w:t xml:space="preserve">The traditional load factor analysis process for calculating the maximum operating load assumes that the variation of load around the mean value is small; the magnitude of each cycling load is assumed small with respect to the sum of all of the load averages.  While this is generally true at the total ship level, </w:t>
      </w:r>
      <w:r w:rsidR="00F36D2F">
        <w:rPr>
          <w:rFonts w:ascii="Times New Roman" w:hAnsi="Times New Roman" w:cs="Times New Roman"/>
        </w:rPr>
        <w:t>transformers usually</w:t>
      </w:r>
      <w:r>
        <w:rPr>
          <w:rFonts w:ascii="Times New Roman" w:hAnsi="Times New Roman" w:cs="Times New Roman"/>
        </w:rPr>
        <w:t xml:space="preserve"> only serve a subset of the ship’s loads.  Certain cycling loads may be significant; the traditional load factor analysis may underestimate the required power rating of the </w:t>
      </w:r>
      <w:r w:rsidR="00F36D2F">
        <w:rPr>
          <w:rFonts w:ascii="Times New Roman" w:hAnsi="Times New Roman" w:cs="Times New Roman"/>
        </w:rPr>
        <w:t>power transformer</w:t>
      </w:r>
      <w:r>
        <w:rPr>
          <w:rFonts w:ascii="Times New Roman" w:hAnsi="Times New Roman" w:cs="Times New Roman"/>
        </w:rPr>
        <w:t>.</w:t>
      </w:r>
    </w:p>
    <w:p w14:paraId="23A39CCF" w14:textId="4BE18B0D" w:rsidR="00B06ED5" w:rsidRPr="00B06ED5" w:rsidRDefault="00F36D2F" w:rsidP="00B06ED5">
      <w:pPr>
        <w:ind w:left="360"/>
        <w:jc w:val="both"/>
        <w:rPr>
          <w:rFonts w:ascii="Times New Roman" w:hAnsi="Times New Roman" w:cs="Times New Roman"/>
        </w:rPr>
      </w:pPr>
      <w:r>
        <w:rPr>
          <w:rFonts w:ascii="Times New Roman" w:hAnsi="Times New Roman" w:cs="Times New Roman"/>
        </w:rPr>
        <w:t>T</w:t>
      </w:r>
      <w:r w:rsidR="00B06ED5">
        <w:rPr>
          <w:rFonts w:ascii="Times New Roman" w:hAnsi="Times New Roman" w:cs="Times New Roman"/>
        </w:rPr>
        <w:t>he zonal load factor process as d</w:t>
      </w:r>
      <w:r w:rsidR="001B4BB1">
        <w:rPr>
          <w:rFonts w:ascii="Times New Roman" w:hAnsi="Times New Roman" w:cs="Times New Roman"/>
        </w:rPr>
        <w:t>escribed</w:t>
      </w:r>
      <w:r w:rsidR="00B06ED5">
        <w:rPr>
          <w:rFonts w:ascii="Times New Roman" w:hAnsi="Times New Roman" w:cs="Times New Roman"/>
        </w:rPr>
        <w:t xml:space="preserve"> in DPC 310-1 is recommended for calculating the maximum operating load for power </w:t>
      </w:r>
      <w:r>
        <w:rPr>
          <w:rFonts w:ascii="Times New Roman" w:hAnsi="Times New Roman" w:cs="Times New Roman"/>
        </w:rPr>
        <w:t>transformers</w:t>
      </w:r>
      <w:r w:rsidR="00B06ED5">
        <w:rPr>
          <w:rFonts w:ascii="Times New Roman" w:hAnsi="Times New Roman" w:cs="Times New Roman"/>
        </w:rPr>
        <w:t xml:space="preserve"> if a significant amount of the load served by the </w:t>
      </w:r>
      <w:r>
        <w:rPr>
          <w:rFonts w:ascii="Times New Roman" w:hAnsi="Times New Roman" w:cs="Times New Roman"/>
        </w:rPr>
        <w:t>transformer</w:t>
      </w:r>
      <w:r w:rsidR="00B06ED5">
        <w:rPr>
          <w:rFonts w:ascii="Times New Roman" w:hAnsi="Times New Roman" w:cs="Times New Roman"/>
        </w:rPr>
        <w:t xml:space="preserve"> </w:t>
      </w:r>
      <w:r w:rsidR="00145F8E">
        <w:rPr>
          <w:rFonts w:ascii="Times New Roman" w:hAnsi="Times New Roman" w:cs="Times New Roman"/>
        </w:rPr>
        <w:t xml:space="preserve">is due to </w:t>
      </w:r>
      <w:r w:rsidR="00B06ED5">
        <w:rPr>
          <w:rFonts w:ascii="Times New Roman" w:hAnsi="Times New Roman" w:cs="Times New Roman"/>
        </w:rPr>
        <w:t xml:space="preserve">cycling loads.  Zonal load factors account for the variability in the total load due to having non-constant power loads.  The zonal load factor method requires for each load: the load factor for the 24-hour average calculations; the connected load; and the peak load.  </w:t>
      </w:r>
      <w:r w:rsidR="00145F8E">
        <w:rPr>
          <w:rFonts w:ascii="Times New Roman" w:hAnsi="Times New Roman" w:cs="Times New Roman"/>
        </w:rPr>
        <w:t>The zonal load factor method will generally result in a larger operating load as compared to the traditional load factor method.</w:t>
      </w:r>
    </w:p>
    <w:p w14:paraId="3EAEC833" w14:textId="50E620B9" w:rsidR="00BD31DD" w:rsidRDefault="007C6070" w:rsidP="009D0CA2">
      <w:pPr>
        <w:pStyle w:val="ListParagraph"/>
        <w:keepNext/>
        <w:numPr>
          <w:ilvl w:val="1"/>
          <w:numId w:val="5"/>
        </w:numPr>
        <w:contextualSpacing w:val="0"/>
        <w:rPr>
          <w:rFonts w:ascii="Times New Roman" w:hAnsi="Times New Roman" w:cs="Times New Roman"/>
        </w:rPr>
      </w:pPr>
      <w:r>
        <w:rPr>
          <w:rFonts w:ascii="Times New Roman" w:hAnsi="Times New Roman" w:cs="Times New Roman"/>
        </w:rPr>
        <w:lastRenderedPageBreak/>
        <w:t>Margin and Service Life Allowance</w:t>
      </w:r>
    </w:p>
    <w:p w14:paraId="41C0A54E" w14:textId="140B5CAC" w:rsidR="001B4BB1" w:rsidRDefault="00977E46" w:rsidP="00977E46">
      <w:pPr>
        <w:ind w:left="360"/>
        <w:jc w:val="both"/>
        <w:rPr>
          <w:rFonts w:ascii="Times New Roman" w:hAnsi="Times New Roman" w:cs="Times New Roman"/>
        </w:rPr>
      </w:pPr>
      <w:r>
        <w:rPr>
          <w:rFonts w:ascii="Times New Roman" w:hAnsi="Times New Roman" w:cs="Times New Roman"/>
        </w:rPr>
        <w:t xml:space="preserve">Margins account for uncertainty in the operating load estimate during the design and construction of a ship; service life allowance accounts for growth in load while the ship is in-service.  </w:t>
      </w:r>
      <w:r w:rsidR="00F36D2F">
        <w:rPr>
          <w:rFonts w:ascii="Times New Roman" w:hAnsi="Times New Roman" w:cs="Times New Roman"/>
        </w:rPr>
        <w:t xml:space="preserve">Margins and service life allowance are applied to the maximum calculated operating load to determine the minimum rating of the transformer.  </w:t>
      </w:r>
      <w:r>
        <w:rPr>
          <w:rFonts w:ascii="Times New Roman" w:hAnsi="Times New Roman" w:cs="Times New Roman"/>
        </w:rPr>
        <w:t>IEEE Std. 45.1 recommends the following margins and SLA:</w:t>
      </w:r>
    </w:p>
    <w:p w14:paraId="6511DA71" w14:textId="2DDF7475" w:rsidR="00977E46" w:rsidRDefault="00977E46" w:rsidP="00977E46">
      <w:pPr>
        <w:ind w:left="720" w:right="720"/>
        <w:jc w:val="both"/>
        <w:rPr>
          <w:rFonts w:ascii="Times New Roman" w:hAnsi="Times New Roman" w:cs="Times New Roman"/>
        </w:rPr>
      </w:pPr>
      <w:r>
        <w:rPr>
          <w:rFonts w:ascii="Times New Roman" w:hAnsi="Times New Roman" w:cs="Times New Roman"/>
        </w:rPr>
        <w:t>Detail Design Margin: 5% for existing follow-on designs to 20% for new first-time designs</w:t>
      </w:r>
    </w:p>
    <w:p w14:paraId="169CE135" w14:textId="7EB4C76F" w:rsidR="00977E46" w:rsidRDefault="00977E46" w:rsidP="00977E46">
      <w:pPr>
        <w:ind w:left="720" w:right="720"/>
        <w:jc w:val="both"/>
        <w:rPr>
          <w:rFonts w:ascii="Times New Roman" w:hAnsi="Times New Roman" w:cs="Times New Roman"/>
        </w:rPr>
      </w:pPr>
      <w:r>
        <w:rPr>
          <w:rFonts w:ascii="Times New Roman" w:hAnsi="Times New Roman" w:cs="Times New Roman"/>
        </w:rPr>
        <w:t>Construction Margin: 5% for existing follow-on designs to 20% for new first-time designs</w:t>
      </w:r>
    </w:p>
    <w:p w14:paraId="002D7E85" w14:textId="3DA9861E" w:rsidR="00977E46" w:rsidRDefault="00977E46" w:rsidP="00977E46">
      <w:pPr>
        <w:ind w:left="720" w:right="720"/>
        <w:jc w:val="both"/>
        <w:rPr>
          <w:rFonts w:ascii="Times New Roman" w:hAnsi="Times New Roman" w:cs="Times New Roman"/>
        </w:rPr>
      </w:pPr>
      <w:r>
        <w:rPr>
          <w:rFonts w:ascii="Times New Roman" w:hAnsi="Times New Roman" w:cs="Times New Roman"/>
        </w:rPr>
        <w:t>SLA: 20% (1% per year for 20 years)</w:t>
      </w:r>
    </w:p>
    <w:p w14:paraId="3C7F1690" w14:textId="05AFACEA" w:rsidR="009D0CA2" w:rsidRDefault="009D0CA2" w:rsidP="007C6070">
      <w:pPr>
        <w:pStyle w:val="ListParagraph"/>
        <w:numPr>
          <w:ilvl w:val="1"/>
          <w:numId w:val="5"/>
        </w:numPr>
        <w:contextualSpacing w:val="0"/>
        <w:rPr>
          <w:rFonts w:ascii="Times New Roman" w:hAnsi="Times New Roman" w:cs="Times New Roman"/>
        </w:rPr>
      </w:pPr>
      <w:r>
        <w:rPr>
          <w:rFonts w:ascii="Times New Roman" w:hAnsi="Times New Roman" w:cs="Times New Roman"/>
        </w:rPr>
        <w:t>Harmonic and common mode currents</w:t>
      </w:r>
    </w:p>
    <w:p w14:paraId="0DA15C10" w14:textId="37171EDA" w:rsidR="009D0CA2" w:rsidRPr="009D0CA2" w:rsidRDefault="009D0CA2" w:rsidP="009D0CA2">
      <w:pPr>
        <w:ind w:left="360"/>
        <w:jc w:val="both"/>
        <w:rPr>
          <w:rFonts w:ascii="Times New Roman" w:hAnsi="Times New Roman" w:cs="Times New Roman"/>
        </w:rPr>
      </w:pPr>
      <w:r>
        <w:rPr>
          <w:rFonts w:ascii="Times New Roman" w:hAnsi="Times New Roman" w:cs="Times New Roman"/>
        </w:rPr>
        <w:t>If harmonic currents or common mode currents are present, a transformer should be derated as described by IEEE Std. 45.1 to account for the additional heating of these undesirable currents.  Harmonic currents and common mode currents are generally produced by loads that employ power electronic converters.  Common mode currents are more of a concern if the transformer has a delta primary and a wye secondary where the neutral of the secondary is grounded either directly or through a neutral grounding resistor; the current through the neutral connection results in a circulating current in the delta primary.</w:t>
      </w:r>
    </w:p>
    <w:p w14:paraId="70C5B7C1" w14:textId="70670D88" w:rsidR="007C6070" w:rsidRDefault="00F36D2F" w:rsidP="007C6070">
      <w:pPr>
        <w:pStyle w:val="ListParagraph"/>
        <w:numPr>
          <w:ilvl w:val="1"/>
          <w:numId w:val="5"/>
        </w:numPr>
        <w:contextualSpacing w:val="0"/>
        <w:rPr>
          <w:rFonts w:ascii="Times New Roman" w:hAnsi="Times New Roman" w:cs="Times New Roman"/>
        </w:rPr>
      </w:pPr>
      <w:r>
        <w:rPr>
          <w:rFonts w:ascii="Times New Roman" w:hAnsi="Times New Roman" w:cs="Times New Roman"/>
        </w:rPr>
        <w:t>S</w:t>
      </w:r>
      <w:r w:rsidR="007C6070">
        <w:rPr>
          <w:rFonts w:ascii="Times New Roman" w:hAnsi="Times New Roman" w:cs="Times New Roman"/>
        </w:rPr>
        <w:t>urvivability</w:t>
      </w:r>
    </w:p>
    <w:p w14:paraId="72BCB846" w14:textId="4168E6B2" w:rsidR="00081D04" w:rsidRDefault="00081D04" w:rsidP="00AE0675">
      <w:pPr>
        <w:tabs>
          <w:tab w:val="left" w:pos="3060"/>
        </w:tabs>
        <w:ind w:left="360"/>
        <w:jc w:val="both"/>
        <w:rPr>
          <w:rFonts w:ascii="Times New Roman" w:hAnsi="Times New Roman" w:cs="Times New Roman"/>
        </w:rPr>
      </w:pPr>
      <w:r>
        <w:rPr>
          <w:rFonts w:ascii="Times New Roman" w:hAnsi="Times New Roman" w:cs="Times New Roman"/>
        </w:rPr>
        <w:t xml:space="preserve">The rating of </w:t>
      </w:r>
      <w:r w:rsidR="009D0CA2">
        <w:rPr>
          <w:rFonts w:ascii="Times New Roman" w:hAnsi="Times New Roman" w:cs="Times New Roman"/>
        </w:rPr>
        <w:t>transformers</w:t>
      </w:r>
      <w:r>
        <w:rPr>
          <w:rFonts w:ascii="Times New Roman" w:hAnsi="Times New Roman" w:cs="Times New Roman"/>
        </w:rPr>
        <w:t xml:space="preserve"> should account for both normal operation and for cases where additional load is applied via bus transfers from other </w:t>
      </w:r>
      <w:r w:rsidR="009D0CA2">
        <w:rPr>
          <w:rFonts w:ascii="Times New Roman" w:hAnsi="Times New Roman" w:cs="Times New Roman"/>
        </w:rPr>
        <w:t>transformers</w:t>
      </w:r>
      <w:r>
        <w:rPr>
          <w:rFonts w:ascii="Times New Roman" w:hAnsi="Times New Roman" w:cs="Times New Roman"/>
        </w:rPr>
        <w:t xml:space="preserve"> that are not functioning.  In this case, load shedding of lower priority loads may be required</w:t>
      </w:r>
      <w:r w:rsidR="00CB06E3">
        <w:rPr>
          <w:rFonts w:ascii="Times New Roman" w:hAnsi="Times New Roman" w:cs="Times New Roman"/>
        </w:rPr>
        <w:t xml:space="preserve"> to supply all vital loads</w:t>
      </w:r>
      <w:r>
        <w:rPr>
          <w:rFonts w:ascii="Times New Roman" w:hAnsi="Times New Roman" w:cs="Times New Roman"/>
        </w:rPr>
        <w:t>.</w:t>
      </w:r>
    </w:p>
    <w:p w14:paraId="18CD0F77" w14:textId="5181506C" w:rsidR="00615E97" w:rsidRDefault="00615E97" w:rsidP="00AE0675">
      <w:pPr>
        <w:tabs>
          <w:tab w:val="left" w:pos="3060"/>
        </w:tabs>
        <w:ind w:left="360"/>
        <w:jc w:val="both"/>
        <w:rPr>
          <w:rFonts w:ascii="Times New Roman" w:hAnsi="Times New Roman" w:cs="Times New Roman"/>
        </w:rPr>
      </w:pPr>
      <w:r>
        <w:rPr>
          <w:rFonts w:ascii="Times New Roman" w:hAnsi="Times New Roman" w:cs="Times New Roman"/>
        </w:rPr>
        <w:t>Delta-delta transformers are often fabricated using three single-phase transformers.  If one of the transformers is damaged, it can be removed from the circuit and the remaining two transformers may be operated as an open delta transformer.  Load on the open-delta transformer should be restricted to about 58% of the full three transformer bank power rating to avoid overloading the remaining two transformers.  The design of the delta-delta transformer bank should facilitate the removal of a transformer from the circuit and the safe operation of the remaining two transformers.</w:t>
      </w:r>
    </w:p>
    <w:p w14:paraId="3B50F8D8" w14:textId="4BDB9B83" w:rsidR="00BD31DD" w:rsidRDefault="00BD31DD" w:rsidP="00BD31DD">
      <w:pPr>
        <w:pStyle w:val="ListParagraph"/>
        <w:numPr>
          <w:ilvl w:val="1"/>
          <w:numId w:val="5"/>
        </w:numPr>
        <w:contextualSpacing w:val="0"/>
        <w:rPr>
          <w:rFonts w:ascii="Times New Roman" w:hAnsi="Times New Roman" w:cs="Times New Roman"/>
        </w:rPr>
      </w:pPr>
      <w:r>
        <w:rPr>
          <w:rFonts w:ascii="Times New Roman" w:hAnsi="Times New Roman" w:cs="Times New Roman"/>
        </w:rPr>
        <w:t>In-rush current</w:t>
      </w:r>
    </w:p>
    <w:p w14:paraId="721A98FF" w14:textId="73A2974F" w:rsidR="009D0CA2" w:rsidRPr="009D0CA2" w:rsidRDefault="009D0CA2" w:rsidP="00615E97">
      <w:pPr>
        <w:ind w:left="360"/>
        <w:jc w:val="both"/>
        <w:rPr>
          <w:rFonts w:ascii="Times New Roman" w:hAnsi="Times New Roman" w:cs="Times New Roman"/>
        </w:rPr>
      </w:pPr>
      <w:r>
        <w:rPr>
          <w:rFonts w:ascii="Times New Roman" w:hAnsi="Times New Roman" w:cs="Times New Roman"/>
        </w:rPr>
        <w:t xml:space="preserve">The in-rush current of large transformers may be greater than can be sustained by generator sets supplying the transformer.  In these cases, pre-charge circuitry </w:t>
      </w:r>
      <w:r w:rsidR="00911271">
        <w:rPr>
          <w:rFonts w:ascii="Times New Roman" w:hAnsi="Times New Roman" w:cs="Times New Roman"/>
        </w:rPr>
        <w:t>may</w:t>
      </w:r>
      <w:r>
        <w:rPr>
          <w:rFonts w:ascii="Times New Roman" w:hAnsi="Times New Roman" w:cs="Times New Roman"/>
        </w:rPr>
        <w:t xml:space="preserve"> be incorporated into the transformer design to reduce the in-rush current.  Alternately,</w:t>
      </w:r>
      <w:r w:rsidR="00615E97">
        <w:rPr>
          <w:rFonts w:ascii="Times New Roman" w:hAnsi="Times New Roman" w:cs="Times New Roman"/>
        </w:rPr>
        <w:t xml:space="preserve"> employing more, lower rated </w:t>
      </w:r>
      <w:r w:rsidR="00615E97">
        <w:rPr>
          <w:rFonts w:ascii="Times New Roman" w:hAnsi="Times New Roman" w:cs="Times New Roman"/>
        </w:rPr>
        <w:lastRenderedPageBreak/>
        <w:t xml:space="preserve">transformers that are not energized at the same time </w:t>
      </w:r>
      <w:r w:rsidR="00911271">
        <w:rPr>
          <w:rFonts w:ascii="Times New Roman" w:hAnsi="Times New Roman" w:cs="Times New Roman"/>
        </w:rPr>
        <w:t>may</w:t>
      </w:r>
      <w:r w:rsidR="00615E97">
        <w:rPr>
          <w:rFonts w:ascii="Times New Roman" w:hAnsi="Times New Roman" w:cs="Times New Roman"/>
        </w:rPr>
        <w:t xml:space="preserve"> reduce the in-rush current to an acceptable level.</w:t>
      </w:r>
    </w:p>
    <w:p w14:paraId="1CC5BE1F" w14:textId="22E14DA9" w:rsidR="00BD31DD" w:rsidRDefault="00BD31DD" w:rsidP="009C1F82">
      <w:pPr>
        <w:pStyle w:val="ListParagraph"/>
        <w:numPr>
          <w:ilvl w:val="1"/>
          <w:numId w:val="5"/>
        </w:numPr>
        <w:contextualSpacing w:val="0"/>
        <w:jc w:val="both"/>
        <w:rPr>
          <w:rFonts w:ascii="Times New Roman" w:hAnsi="Times New Roman" w:cs="Times New Roman"/>
        </w:rPr>
      </w:pPr>
      <w:r w:rsidRPr="00394D21">
        <w:rPr>
          <w:rFonts w:ascii="Times New Roman" w:hAnsi="Times New Roman" w:cs="Times New Roman"/>
        </w:rPr>
        <w:t xml:space="preserve">Fault </w:t>
      </w:r>
      <w:r w:rsidR="007C6070" w:rsidRPr="00394D21">
        <w:rPr>
          <w:rFonts w:ascii="Times New Roman" w:hAnsi="Times New Roman" w:cs="Times New Roman"/>
        </w:rPr>
        <w:t>protection</w:t>
      </w:r>
      <w:r w:rsidR="00F36D2F">
        <w:rPr>
          <w:rFonts w:ascii="Times New Roman" w:hAnsi="Times New Roman" w:cs="Times New Roman"/>
        </w:rPr>
        <w:t xml:space="preserve"> </w:t>
      </w:r>
    </w:p>
    <w:p w14:paraId="4F93A5E3" w14:textId="7651A3C7" w:rsidR="00310C0B" w:rsidRDefault="00911271" w:rsidP="00911271">
      <w:pPr>
        <w:ind w:left="360"/>
        <w:jc w:val="both"/>
        <w:rPr>
          <w:rFonts w:ascii="Times New Roman" w:hAnsi="Times New Roman" w:cs="Times New Roman"/>
        </w:rPr>
      </w:pPr>
      <w:r>
        <w:rPr>
          <w:rFonts w:ascii="Times New Roman" w:hAnsi="Times New Roman" w:cs="Times New Roman"/>
        </w:rPr>
        <w:t>Transformers with a higher maximum power rating have lower impedances in order to ensure the secondary voltage is not too low at full power.  These lower impedances along with the turns ratio of the transformer, can result in fault currents on the distribution system connected to the secondary windings that exceed the interruption capability of available circuit breakers.  Reducing the maximum power rating of transformers by employing more of them, may reduce the maximum available fault current on the secondary side of the transformers to a level that can be interrupted by available circuit breakers.  See Dalton (2019) for more details.</w:t>
      </w:r>
    </w:p>
    <w:p w14:paraId="47C20C19" w14:textId="7E60B880" w:rsidR="00F36D2F" w:rsidRDefault="00F36D2F" w:rsidP="00F36D2F">
      <w:pPr>
        <w:pStyle w:val="ListParagraph"/>
        <w:numPr>
          <w:ilvl w:val="1"/>
          <w:numId w:val="5"/>
        </w:numPr>
        <w:contextualSpacing w:val="0"/>
        <w:jc w:val="both"/>
        <w:rPr>
          <w:rFonts w:ascii="Times New Roman" w:hAnsi="Times New Roman" w:cs="Times New Roman"/>
        </w:rPr>
      </w:pPr>
      <w:r>
        <w:rPr>
          <w:rFonts w:ascii="Times New Roman" w:hAnsi="Times New Roman" w:cs="Times New Roman"/>
        </w:rPr>
        <w:t>DC current saturation</w:t>
      </w:r>
    </w:p>
    <w:p w14:paraId="05D14148" w14:textId="1E0B4DF9" w:rsidR="00F36D2F" w:rsidRPr="00EE4B71" w:rsidRDefault="005A6A45" w:rsidP="005A6A45">
      <w:pPr>
        <w:ind w:left="360"/>
        <w:jc w:val="both"/>
        <w:rPr>
          <w:rFonts w:ascii="Times New Roman" w:hAnsi="Times New Roman" w:cs="Times New Roman"/>
        </w:rPr>
      </w:pPr>
      <w:r>
        <w:rPr>
          <w:rFonts w:ascii="Times New Roman" w:hAnsi="Times New Roman" w:cs="Times New Roman"/>
        </w:rPr>
        <w:t>If a rectifier (non-isolated) is connected to a high resistance grounded distribution system powered by delta-wye transformer with the neutral connected the neutral grounding resistor, then a ground fault on the dc side of the rectifier will likely result in dc currents flowing in each of the phases of the transformer.  If the delta-wye transformer is constructed from three single phase transformers or employs a single shell type transformer core, then the dc currents may lead to saturation of the transformer core(s) with large primary currents and low secondary voltages.  A delta-wye transformer that employs a core-type three phase core is much less likely to saturate and should be considered.  See Doerry (2022) for a description of shell type and core type three phase transformers.</w:t>
      </w:r>
    </w:p>
    <w:p w14:paraId="210DD3F5" w14:textId="67EE0B8B" w:rsidR="0034723A" w:rsidRPr="0034723A" w:rsidRDefault="00E929F8" w:rsidP="0034723A">
      <w:pPr>
        <w:pStyle w:val="ListParagraph"/>
        <w:keepNext/>
        <w:numPr>
          <w:ilvl w:val="0"/>
          <w:numId w:val="5"/>
        </w:numPr>
        <w:spacing w:before="240"/>
        <w:contextualSpacing w:val="0"/>
        <w:rPr>
          <w:rFonts w:ascii="Times New Roman" w:hAnsi="Times New Roman" w:cs="Times New Roman"/>
        </w:rPr>
      </w:pPr>
      <w:r>
        <w:rPr>
          <w:rFonts w:ascii="Times New Roman" w:hAnsi="Times New Roman" w:cs="Times New Roman"/>
        </w:rPr>
        <w:t>Reference</w:t>
      </w:r>
      <w:r w:rsidR="0034723A">
        <w:rPr>
          <w:rFonts w:ascii="Times New Roman" w:hAnsi="Times New Roman" w:cs="Times New Roman"/>
        </w:rPr>
        <w:t>s</w:t>
      </w:r>
    </w:p>
    <w:p w14:paraId="0AC2F54A" w14:textId="475A35FA" w:rsidR="00D61944" w:rsidRDefault="00D61944" w:rsidP="00DA3603">
      <w:pPr>
        <w:pStyle w:val="NormalWeb"/>
        <w:ind w:left="-90"/>
      </w:pPr>
      <w:r w:rsidRPr="00D61944">
        <w:t>ABS MVR</w:t>
      </w:r>
      <w:r>
        <w:t xml:space="preserve">, </w:t>
      </w:r>
      <w:r w:rsidRPr="00D61944">
        <w:t>ABS Rules for Building and Classing Marine Vessels</w:t>
      </w:r>
    </w:p>
    <w:p w14:paraId="40375E52" w14:textId="44126311" w:rsidR="005A6A45" w:rsidRDefault="005A6A45" w:rsidP="00DA3603">
      <w:pPr>
        <w:pStyle w:val="NormalWeb"/>
        <w:ind w:left="-90"/>
      </w:pPr>
      <w:r>
        <w:t>46 CFR 111</w:t>
      </w:r>
      <w:r w:rsidR="003E7CF0">
        <w:t xml:space="preserve"> </w:t>
      </w:r>
      <w:r w:rsidR="003E7CF0" w:rsidRPr="003E7CF0">
        <w:t>Code of Federal Regulations -- Coast Guard, Department of Homeland Security, Electrical Engineering, Electrical Systems - General Requirements</w:t>
      </w:r>
    </w:p>
    <w:p w14:paraId="051DAA86" w14:textId="7A7F8FF7" w:rsidR="00122EDC" w:rsidRDefault="00DA3603" w:rsidP="00DA3603">
      <w:pPr>
        <w:pStyle w:val="NormalWeb"/>
        <w:ind w:left="-90"/>
      </w:pPr>
      <w:r>
        <w:t xml:space="preserve">IEEE Std 45.1, </w:t>
      </w:r>
      <w:r w:rsidRPr="00DA3603">
        <w:t>IEEE Recommended Practice for Electrical Installations on Shipboard</w:t>
      </w:r>
      <w:r>
        <w:t>—</w:t>
      </w:r>
      <w:r w:rsidRPr="00DA3603">
        <w:t>Design</w:t>
      </w:r>
    </w:p>
    <w:p w14:paraId="3460C89F" w14:textId="327441E5" w:rsidR="00E650D2" w:rsidRDefault="00E650D2" w:rsidP="000E3F1D">
      <w:pPr>
        <w:pStyle w:val="NormalWeb"/>
        <w:ind w:left="-90"/>
      </w:pPr>
      <w:r w:rsidRPr="00E650D2">
        <w:t>DPC 310-1</w:t>
      </w:r>
      <w:r>
        <w:t xml:space="preserve"> </w:t>
      </w:r>
      <w:r w:rsidRPr="00E650D2">
        <w:t>Electric Power Load Analysis (EPLA) for Surface Ships</w:t>
      </w:r>
    </w:p>
    <w:p w14:paraId="26219CF7" w14:textId="05574924" w:rsidR="00F36D2F" w:rsidRDefault="00F36D2F" w:rsidP="000E3F1D">
      <w:pPr>
        <w:pStyle w:val="NormalWeb"/>
        <w:ind w:left="-90"/>
      </w:pPr>
      <w:r w:rsidRPr="00F36D2F">
        <w:t>Dalton, Thomas, "Power Application Limitations of AC Shipboard Electric Plants for US Navy Ships," presented at ASNE TSS 2019, June 18-20, 2019, Washington DC.</w:t>
      </w:r>
    </w:p>
    <w:p w14:paraId="09A48724" w14:textId="62A14F07" w:rsidR="005A6A45" w:rsidRDefault="005A6A45" w:rsidP="000E3F1D">
      <w:pPr>
        <w:pStyle w:val="NormalWeb"/>
        <w:ind w:left="-90"/>
      </w:pPr>
      <w:r w:rsidRPr="005A6A45">
        <w:t>Norbert Doerry, " Shipboard Three-Phase Power Transformer Analysis," Version 1.0, December 10, 2022.</w:t>
      </w:r>
    </w:p>
    <w:sectPr w:rsidR="005A6A45">
      <w:footerReference w:type="default" r:id="rId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C6C307E" w14:textId="77777777" w:rsidR="000D7C8D" w:rsidRDefault="000D7C8D" w:rsidP="008C641F">
      <w:pPr>
        <w:spacing w:after="0" w:line="240" w:lineRule="auto"/>
      </w:pPr>
      <w:r>
        <w:separator/>
      </w:r>
    </w:p>
  </w:endnote>
  <w:endnote w:type="continuationSeparator" w:id="0">
    <w:p w14:paraId="706C628D" w14:textId="77777777" w:rsidR="000D7C8D" w:rsidRDefault="000D7C8D" w:rsidP="008C641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2A9A93" w14:textId="24D35688" w:rsidR="008C641F" w:rsidRDefault="008C641F" w:rsidP="008C641F">
    <w:pPr>
      <w:pStyle w:val="Footer"/>
    </w:pPr>
    <w:r>
      <w:rPr>
        <w:noProof/>
      </w:rPr>
      <w:drawing>
        <wp:anchor distT="0" distB="0" distL="114300" distR="114300" simplePos="0" relativeHeight="251660288" behindDoc="0" locked="0" layoutInCell="1" allowOverlap="1" wp14:anchorId="4DB4C112" wp14:editId="4000FD52">
          <wp:simplePos x="0" y="0"/>
          <wp:positionH relativeFrom="column">
            <wp:posOffset>227965</wp:posOffset>
          </wp:positionH>
          <wp:positionV relativeFrom="paragraph">
            <wp:posOffset>92075</wp:posOffset>
          </wp:positionV>
          <wp:extent cx="210312" cy="210312"/>
          <wp:effectExtent l="0" t="0" r="0" b="0"/>
          <wp:wrapThrough wrapText="bothSides">
            <wp:wrapPolygon edited="0">
              <wp:start x="1958" y="0"/>
              <wp:lineTo x="0" y="3915"/>
              <wp:lineTo x="0" y="17619"/>
              <wp:lineTo x="1958" y="19577"/>
              <wp:lineTo x="19577" y="19577"/>
              <wp:lineTo x="19577" y="0"/>
              <wp:lineTo x="1958" y="0"/>
            </wp:wrapPolygon>
          </wp:wrapThrough>
          <wp:docPr id="296658809" name="Picture 6" descr="A black and white circle with a person in it&#10;&#10;Description automatically generated">
            <a:extLst xmlns:a="http://schemas.openxmlformats.org/drawingml/2006/main">
              <a:ext uri="{FF2B5EF4-FFF2-40B4-BE49-F238E27FC236}">
                <a16:creationId xmlns:a16="http://schemas.microsoft.com/office/drawing/2014/main" id="{53FC4551-71F8-562A-A0D4-FBB2407126C2}"/>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Picture 6" descr="A black and white circle with a person in it&#10;&#10;Description automatically generated">
                    <a:extLst>
                      <a:ext uri="{FF2B5EF4-FFF2-40B4-BE49-F238E27FC236}">
                        <a16:creationId xmlns:a16="http://schemas.microsoft.com/office/drawing/2014/main" id="{53FC4551-71F8-562A-A0D4-FBB2407126C2}"/>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flipH="1">
                    <a:off x="0" y="0"/>
                    <a:ext cx="210312" cy="210312"/>
                  </a:xfrm>
                  <a:prstGeom prst="rect">
                    <a:avLst/>
                  </a:prstGeom>
                  <a:noFill/>
                </pic:spPr>
              </pic:pic>
            </a:graphicData>
          </a:graphic>
          <wp14:sizeRelH relativeFrom="margin">
            <wp14:pctWidth>0</wp14:pctWidth>
          </wp14:sizeRelH>
          <wp14:sizeRelV relativeFrom="margin">
            <wp14:pctHeight>0</wp14:pctHeight>
          </wp14:sizeRelV>
        </wp:anchor>
      </w:drawing>
    </w:r>
    <w:r>
      <w:tab/>
    </w:r>
    <w:r w:rsidRPr="00124833">
      <w:t>© 202</w:t>
    </w:r>
    <w:r w:rsidR="00C93341">
      <w:t>6</w:t>
    </w:r>
    <w:r w:rsidRPr="00124833">
      <w:t xml:space="preserve"> by Norbert Doerry</w:t>
    </w:r>
  </w:p>
  <w:p w14:paraId="6278C1EE" w14:textId="77777777" w:rsidR="008C641F" w:rsidRDefault="008C641F" w:rsidP="008C641F">
    <w:pPr>
      <w:pStyle w:val="Footer"/>
    </w:pPr>
    <w:r>
      <w:rPr>
        <w:noProof/>
      </w:rPr>
      <w:drawing>
        <wp:anchor distT="0" distB="0" distL="114300" distR="114300" simplePos="0" relativeHeight="251659264" behindDoc="0" locked="0" layoutInCell="1" allowOverlap="1" wp14:anchorId="31CF6CF9" wp14:editId="0102FE65">
          <wp:simplePos x="0" y="0"/>
          <wp:positionH relativeFrom="column">
            <wp:posOffset>0</wp:posOffset>
          </wp:positionH>
          <wp:positionV relativeFrom="paragraph">
            <wp:posOffset>-78105</wp:posOffset>
          </wp:positionV>
          <wp:extent cx="207818" cy="209550"/>
          <wp:effectExtent l="0" t="0" r="1905" b="0"/>
          <wp:wrapNone/>
          <wp:docPr id="1997473318" name="Picture 1"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577314" name="Picture 1" descr="A black background with a black square&#10;&#10;Description automatically generated with medium confidence"/>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7818" cy="209550"/>
                  </a:xfrm>
                  <a:prstGeom prst="rect">
                    <a:avLst/>
                  </a:prstGeom>
                  <a:noFill/>
                </pic:spPr>
              </pic:pic>
            </a:graphicData>
          </a:graphic>
        </wp:anchor>
      </w:drawing>
    </w:r>
    <w:r>
      <w:tab/>
    </w:r>
    <w:r w:rsidRPr="00124833">
      <w:t>This work is licensed via: CC BY 4.0   (https://creativecommons.org/)</w:t>
    </w:r>
    <w:r>
      <w:tab/>
    </w:r>
    <w:sdt>
      <w:sdtPr>
        <w:id w:val="1103614891"/>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t>1</w:t>
        </w:r>
        <w:r>
          <w:rPr>
            <w:noProof/>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B8C1CA9" w14:textId="77777777" w:rsidR="000D7C8D" w:rsidRDefault="000D7C8D" w:rsidP="008C641F">
      <w:pPr>
        <w:spacing w:after="0" w:line="240" w:lineRule="auto"/>
      </w:pPr>
      <w:r>
        <w:separator/>
      </w:r>
    </w:p>
  </w:footnote>
  <w:footnote w:type="continuationSeparator" w:id="0">
    <w:p w14:paraId="7E54DF39" w14:textId="77777777" w:rsidR="000D7C8D" w:rsidRDefault="000D7C8D" w:rsidP="008C641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243348"/>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04043EC9"/>
    <w:multiLevelType w:val="hybridMultilevel"/>
    <w:tmpl w:val="3E96508C"/>
    <w:lvl w:ilvl="0" w:tplc="DFD480D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4142EC9"/>
    <w:multiLevelType w:val="hybridMultilevel"/>
    <w:tmpl w:val="177667E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0506687E"/>
    <w:multiLevelType w:val="hybridMultilevel"/>
    <w:tmpl w:val="E088546A"/>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 w15:restartNumberingAfterBreak="0">
    <w:nsid w:val="05BF20AD"/>
    <w:multiLevelType w:val="hybridMultilevel"/>
    <w:tmpl w:val="8640BB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77B2182"/>
    <w:multiLevelType w:val="hybridMultilevel"/>
    <w:tmpl w:val="4DB4604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0A423D83"/>
    <w:multiLevelType w:val="multilevel"/>
    <w:tmpl w:val="0409001F"/>
    <w:lvl w:ilvl="0">
      <w:start w:val="1"/>
      <w:numFmt w:val="decimal"/>
      <w:lvlText w:val="%1."/>
      <w:lvlJc w:val="left"/>
      <w:pPr>
        <w:ind w:left="720" w:hanging="360"/>
      </w:pPr>
    </w:lvl>
    <w:lvl w:ilvl="1">
      <w:start w:val="1"/>
      <w:numFmt w:val="decimal"/>
      <w:lvlText w:val="%1.%2."/>
      <w:lvlJc w:val="left"/>
      <w:pPr>
        <w:ind w:left="1152" w:hanging="432"/>
      </w:p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7" w15:restartNumberingAfterBreak="0">
    <w:nsid w:val="0BC119C9"/>
    <w:multiLevelType w:val="multilevel"/>
    <w:tmpl w:val="8258F566"/>
    <w:lvl w:ilvl="0">
      <w:start w:val="1"/>
      <w:numFmt w:val="decimal"/>
      <w:lvlText w:val="%1."/>
      <w:lvlJc w:val="left"/>
      <w:pPr>
        <w:ind w:left="360" w:hanging="360"/>
      </w:pPr>
    </w:lvl>
    <w:lvl w:ilvl="1">
      <w:start w:val="1"/>
      <w:numFmt w:val="bullet"/>
      <w:lvlText w:val=""/>
      <w:lvlJc w:val="left"/>
      <w:pPr>
        <w:ind w:left="720" w:hanging="360"/>
      </w:pPr>
      <w:rPr>
        <w:rFonts w:ascii="Symbol" w:hAnsi="Symbol"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0FE46163"/>
    <w:multiLevelType w:val="multilevel"/>
    <w:tmpl w:val="0409001F"/>
    <w:lvl w:ilvl="0">
      <w:start w:val="1"/>
      <w:numFmt w:val="decimal"/>
      <w:lvlText w:val="%1."/>
      <w:lvlJc w:val="left"/>
      <w:pPr>
        <w:ind w:left="720" w:hanging="360"/>
      </w:pPr>
    </w:lvl>
    <w:lvl w:ilvl="1">
      <w:start w:val="1"/>
      <w:numFmt w:val="decimal"/>
      <w:lvlText w:val="%1.%2."/>
      <w:lvlJc w:val="left"/>
      <w:pPr>
        <w:ind w:left="1152" w:hanging="432"/>
      </w:p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9" w15:restartNumberingAfterBreak="0">
    <w:nsid w:val="1015263F"/>
    <w:multiLevelType w:val="multilevel"/>
    <w:tmpl w:val="44B669D6"/>
    <w:lvl w:ilvl="0">
      <w:start w:val="1"/>
      <w:numFmt w:val="decimal"/>
      <w:lvlText w:val="%1."/>
      <w:lvlJc w:val="left"/>
      <w:pPr>
        <w:ind w:left="720" w:hanging="360"/>
      </w:pPr>
      <w:rPr>
        <w:rFonts w:hint="default"/>
      </w:rPr>
    </w:lvl>
    <w:lvl w:ilvl="1">
      <w:start w:val="1"/>
      <w:numFmt w:val="decimal"/>
      <w:lvlText w:val="%1.%2."/>
      <w:lvlJc w:val="left"/>
      <w:pPr>
        <w:ind w:left="1152" w:hanging="432"/>
      </w:pPr>
      <w:rPr>
        <w:rFonts w:hint="default"/>
      </w:rPr>
    </w:lvl>
    <w:lvl w:ilvl="2">
      <w:start w:val="1"/>
      <w:numFmt w:val="decimal"/>
      <w:lvlText w:val="%1.%2.%3."/>
      <w:lvlJc w:val="left"/>
      <w:pPr>
        <w:ind w:left="1584" w:hanging="504"/>
      </w:pPr>
      <w:rPr>
        <w:rFonts w:hint="default"/>
      </w:rPr>
    </w:lvl>
    <w:lvl w:ilvl="3">
      <w:start w:val="1"/>
      <w:numFmt w:val="decimal"/>
      <w:lvlText w:val="%1.%2.%3.%4."/>
      <w:lvlJc w:val="left"/>
      <w:pPr>
        <w:ind w:left="2088" w:hanging="648"/>
      </w:pPr>
      <w:rPr>
        <w:rFonts w:hint="default"/>
      </w:rPr>
    </w:lvl>
    <w:lvl w:ilvl="4">
      <w:start w:val="1"/>
      <w:numFmt w:val="decimal"/>
      <w:lvlText w:val="%1.%2.%3.%4.%5."/>
      <w:lvlJc w:val="left"/>
      <w:pPr>
        <w:ind w:left="2592" w:hanging="792"/>
      </w:pPr>
      <w:rPr>
        <w:rFonts w:hint="default"/>
      </w:rPr>
    </w:lvl>
    <w:lvl w:ilvl="5">
      <w:start w:val="1"/>
      <w:numFmt w:val="decimal"/>
      <w:lvlText w:val="%1.%2.%3.%4.%5.%6."/>
      <w:lvlJc w:val="left"/>
      <w:pPr>
        <w:ind w:left="3096" w:hanging="936"/>
      </w:pPr>
      <w:rPr>
        <w:rFonts w:hint="default"/>
      </w:rPr>
    </w:lvl>
    <w:lvl w:ilvl="6">
      <w:start w:val="1"/>
      <w:numFmt w:val="decimal"/>
      <w:lvlText w:val="%1.%2.%3.%4.%5.%6.%7."/>
      <w:lvlJc w:val="left"/>
      <w:pPr>
        <w:ind w:left="3600" w:hanging="1080"/>
      </w:pPr>
      <w:rPr>
        <w:rFonts w:hint="default"/>
      </w:rPr>
    </w:lvl>
    <w:lvl w:ilvl="7">
      <w:start w:val="1"/>
      <w:numFmt w:val="decimal"/>
      <w:lvlText w:val="%1.%2.%3.%4.%5.%6.%7.%8."/>
      <w:lvlJc w:val="left"/>
      <w:pPr>
        <w:ind w:left="4104" w:hanging="1224"/>
      </w:pPr>
      <w:rPr>
        <w:rFonts w:hint="default"/>
      </w:rPr>
    </w:lvl>
    <w:lvl w:ilvl="8">
      <w:start w:val="1"/>
      <w:numFmt w:val="decimal"/>
      <w:lvlText w:val="%1.%2.%3.%4.%5.%6.%7.%8.%9."/>
      <w:lvlJc w:val="left"/>
      <w:pPr>
        <w:ind w:left="4680" w:hanging="1440"/>
      </w:pPr>
      <w:rPr>
        <w:rFonts w:hint="default"/>
      </w:rPr>
    </w:lvl>
  </w:abstractNum>
  <w:abstractNum w:abstractNumId="10" w15:restartNumberingAfterBreak="0">
    <w:nsid w:val="11E07BCD"/>
    <w:multiLevelType w:val="hybridMultilevel"/>
    <w:tmpl w:val="6C3E0BD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11F17B5C"/>
    <w:multiLevelType w:val="hybridMultilevel"/>
    <w:tmpl w:val="A5067F0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166003DC"/>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16D519D8"/>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19546F2B"/>
    <w:multiLevelType w:val="hybridMultilevel"/>
    <w:tmpl w:val="C574A1DE"/>
    <w:lvl w:ilvl="0" w:tplc="D87C84EC">
      <w:start w:val="1"/>
      <w:numFmt w:val="decimal"/>
      <w:lvlText w:val="%1."/>
      <w:lvlJc w:val="left"/>
      <w:pPr>
        <w:ind w:left="1152" w:hanging="360"/>
      </w:pPr>
      <w:rPr>
        <w:rFonts w:hint="default"/>
      </w:rPr>
    </w:lvl>
    <w:lvl w:ilvl="1" w:tplc="04090019">
      <w:start w:val="1"/>
      <w:numFmt w:val="lowerLetter"/>
      <w:lvlText w:val="%2."/>
      <w:lvlJc w:val="left"/>
      <w:pPr>
        <w:ind w:left="1872" w:hanging="360"/>
      </w:pPr>
    </w:lvl>
    <w:lvl w:ilvl="2" w:tplc="0409001B" w:tentative="1">
      <w:start w:val="1"/>
      <w:numFmt w:val="lowerRoman"/>
      <w:lvlText w:val="%3."/>
      <w:lvlJc w:val="right"/>
      <w:pPr>
        <w:ind w:left="2592" w:hanging="180"/>
      </w:pPr>
    </w:lvl>
    <w:lvl w:ilvl="3" w:tplc="0409000F" w:tentative="1">
      <w:start w:val="1"/>
      <w:numFmt w:val="decimal"/>
      <w:lvlText w:val="%4."/>
      <w:lvlJc w:val="left"/>
      <w:pPr>
        <w:ind w:left="3312" w:hanging="360"/>
      </w:pPr>
    </w:lvl>
    <w:lvl w:ilvl="4" w:tplc="04090019" w:tentative="1">
      <w:start w:val="1"/>
      <w:numFmt w:val="lowerLetter"/>
      <w:lvlText w:val="%5."/>
      <w:lvlJc w:val="left"/>
      <w:pPr>
        <w:ind w:left="4032" w:hanging="360"/>
      </w:pPr>
    </w:lvl>
    <w:lvl w:ilvl="5" w:tplc="0409001B" w:tentative="1">
      <w:start w:val="1"/>
      <w:numFmt w:val="lowerRoman"/>
      <w:lvlText w:val="%6."/>
      <w:lvlJc w:val="right"/>
      <w:pPr>
        <w:ind w:left="4752" w:hanging="180"/>
      </w:pPr>
    </w:lvl>
    <w:lvl w:ilvl="6" w:tplc="0409000F" w:tentative="1">
      <w:start w:val="1"/>
      <w:numFmt w:val="decimal"/>
      <w:lvlText w:val="%7."/>
      <w:lvlJc w:val="left"/>
      <w:pPr>
        <w:ind w:left="5472" w:hanging="360"/>
      </w:pPr>
    </w:lvl>
    <w:lvl w:ilvl="7" w:tplc="04090019" w:tentative="1">
      <w:start w:val="1"/>
      <w:numFmt w:val="lowerLetter"/>
      <w:lvlText w:val="%8."/>
      <w:lvlJc w:val="left"/>
      <w:pPr>
        <w:ind w:left="6192" w:hanging="360"/>
      </w:pPr>
    </w:lvl>
    <w:lvl w:ilvl="8" w:tplc="0409001B" w:tentative="1">
      <w:start w:val="1"/>
      <w:numFmt w:val="lowerRoman"/>
      <w:lvlText w:val="%9."/>
      <w:lvlJc w:val="right"/>
      <w:pPr>
        <w:ind w:left="6912" w:hanging="180"/>
      </w:pPr>
    </w:lvl>
  </w:abstractNum>
  <w:abstractNum w:abstractNumId="15" w15:restartNumberingAfterBreak="0">
    <w:nsid w:val="1AA96FF2"/>
    <w:multiLevelType w:val="hybridMultilevel"/>
    <w:tmpl w:val="F0D4738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1ABF398E"/>
    <w:multiLevelType w:val="hybridMultilevel"/>
    <w:tmpl w:val="CB6C7DCC"/>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1B0D6D19"/>
    <w:multiLevelType w:val="hybridMultilevel"/>
    <w:tmpl w:val="1B2CC902"/>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1BD02C18"/>
    <w:multiLevelType w:val="multilevel"/>
    <w:tmpl w:val="8F1ED344"/>
    <w:lvl w:ilvl="0">
      <w:start w:val="1"/>
      <w:numFmt w:val="decimal"/>
      <w:lvlText w:val="%1."/>
      <w:lvlJc w:val="left"/>
      <w:pPr>
        <w:ind w:left="360" w:hanging="360"/>
      </w:pPr>
    </w:lvl>
    <w:lvl w:ilvl="1">
      <w:start w:val="1"/>
      <w:numFmt w:val="bullet"/>
      <w:lvlText w:val=""/>
      <w:lvlJc w:val="left"/>
      <w:pPr>
        <w:ind w:left="720" w:hanging="360"/>
      </w:pPr>
      <w:rPr>
        <w:rFonts w:ascii="Symbol" w:hAnsi="Symbol"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1C866F4F"/>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1DAF677C"/>
    <w:multiLevelType w:val="hybridMultilevel"/>
    <w:tmpl w:val="6EC03E8A"/>
    <w:lvl w:ilvl="0" w:tplc="FFFFFFFF">
      <w:start w:val="1"/>
      <w:numFmt w:val="decimal"/>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1" w15:restartNumberingAfterBreak="0">
    <w:nsid w:val="204B247F"/>
    <w:multiLevelType w:val="hybridMultilevel"/>
    <w:tmpl w:val="37FAD6EE"/>
    <w:lvl w:ilvl="0" w:tplc="6B4246D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20C608A4"/>
    <w:multiLevelType w:val="hybridMultilevel"/>
    <w:tmpl w:val="6DDE43AE"/>
    <w:lvl w:ilvl="0" w:tplc="EA50A398">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2177DDF"/>
    <w:multiLevelType w:val="hybridMultilevel"/>
    <w:tmpl w:val="33EE963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23C20723"/>
    <w:multiLevelType w:val="hybridMultilevel"/>
    <w:tmpl w:val="F9083C0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15:restartNumberingAfterBreak="0">
    <w:nsid w:val="249F0FA2"/>
    <w:multiLevelType w:val="hybridMultilevel"/>
    <w:tmpl w:val="D4C2D70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15:restartNumberingAfterBreak="0">
    <w:nsid w:val="24BC68EC"/>
    <w:multiLevelType w:val="hybridMultilevel"/>
    <w:tmpl w:val="EE6A06C4"/>
    <w:lvl w:ilvl="0" w:tplc="0409000F">
      <w:start w:val="1"/>
      <w:numFmt w:val="decimal"/>
      <w:lvlText w:val="%1."/>
      <w:lvlJc w:val="left"/>
      <w:pPr>
        <w:ind w:left="1080" w:hanging="360"/>
      </w:pPr>
      <w:rPr>
        <w:rFont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7" w15:restartNumberingAfterBreak="0">
    <w:nsid w:val="26F40DA3"/>
    <w:multiLevelType w:val="hybridMultilevel"/>
    <w:tmpl w:val="6D8AE62A"/>
    <w:lvl w:ilvl="0" w:tplc="1EDC3340">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286D05C0"/>
    <w:multiLevelType w:val="hybridMultilevel"/>
    <w:tmpl w:val="5F721596"/>
    <w:lvl w:ilvl="0" w:tplc="FFFFFFFF">
      <w:start w:val="1"/>
      <w:numFmt w:val="lowerLetter"/>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2A5B2822"/>
    <w:multiLevelType w:val="hybridMultilevel"/>
    <w:tmpl w:val="CA36068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 w15:restartNumberingAfterBreak="0">
    <w:nsid w:val="2D683D23"/>
    <w:multiLevelType w:val="hybridMultilevel"/>
    <w:tmpl w:val="6AE411B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15:restartNumberingAfterBreak="0">
    <w:nsid w:val="2E942F4C"/>
    <w:multiLevelType w:val="hybridMultilevel"/>
    <w:tmpl w:val="43604196"/>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2" w15:restartNumberingAfterBreak="0">
    <w:nsid w:val="344B5E30"/>
    <w:multiLevelType w:val="hybridMultilevel"/>
    <w:tmpl w:val="8E82AE9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34526296"/>
    <w:multiLevelType w:val="hybridMultilevel"/>
    <w:tmpl w:val="E66C39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3B457EE0"/>
    <w:multiLevelType w:val="hybridMultilevel"/>
    <w:tmpl w:val="7C9834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3CF3733B"/>
    <w:multiLevelType w:val="multilevel"/>
    <w:tmpl w:val="8258F566"/>
    <w:lvl w:ilvl="0">
      <w:start w:val="1"/>
      <w:numFmt w:val="decimal"/>
      <w:lvlText w:val="%1."/>
      <w:lvlJc w:val="left"/>
      <w:pPr>
        <w:ind w:left="360" w:hanging="360"/>
      </w:pPr>
    </w:lvl>
    <w:lvl w:ilvl="1">
      <w:start w:val="1"/>
      <w:numFmt w:val="bullet"/>
      <w:lvlText w:val=""/>
      <w:lvlJc w:val="left"/>
      <w:pPr>
        <w:ind w:left="720" w:hanging="360"/>
      </w:pPr>
      <w:rPr>
        <w:rFonts w:ascii="Symbol" w:hAnsi="Symbol"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6" w15:restartNumberingAfterBreak="0">
    <w:nsid w:val="3F817334"/>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7" w15:restartNumberingAfterBreak="0">
    <w:nsid w:val="42C07415"/>
    <w:multiLevelType w:val="hybridMultilevel"/>
    <w:tmpl w:val="1716F2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43D172DD"/>
    <w:multiLevelType w:val="hybridMultilevel"/>
    <w:tmpl w:val="174C01AA"/>
    <w:lvl w:ilvl="0" w:tplc="D99CDA8E">
      <w:start w:val="1"/>
      <w:numFmt w:val="lowerLetter"/>
      <w:lvlText w:val="(%1)"/>
      <w:lvlJc w:val="left"/>
      <w:pPr>
        <w:ind w:left="6336" w:hanging="3588"/>
      </w:pPr>
      <w:rPr>
        <w:rFonts w:hint="default"/>
      </w:rPr>
    </w:lvl>
    <w:lvl w:ilvl="1" w:tplc="04090019" w:tentative="1">
      <w:start w:val="1"/>
      <w:numFmt w:val="lowerLetter"/>
      <w:lvlText w:val="%2."/>
      <w:lvlJc w:val="left"/>
      <w:pPr>
        <w:ind w:left="3828" w:hanging="360"/>
      </w:pPr>
    </w:lvl>
    <w:lvl w:ilvl="2" w:tplc="0409001B" w:tentative="1">
      <w:start w:val="1"/>
      <w:numFmt w:val="lowerRoman"/>
      <w:lvlText w:val="%3."/>
      <w:lvlJc w:val="right"/>
      <w:pPr>
        <w:ind w:left="4548" w:hanging="180"/>
      </w:pPr>
    </w:lvl>
    <w:lvl w:ilvl="3" w:tplc="0409000F" w:tentative="1">
      <w:start w:val="1"/>
      <w:numFmt w:val="decimal"/>
      <w:lvlText w:val="%4."/>
      <w:lvlJc w:val="left"/>
      <w:pPr>
        <w:ind w:left="5268" w:hanging="360"/>
      </w:pPr>
    </w:lvl>
    <w:lvl w:ilvl="4" w:tplc="04090019" w:tentative="1">
      <w:start w:val="1"/>
      <w:numFmt w:val="lowerLetter"/>
      <w:lvlText w:val="%5."/>
      <w:lvlJc w:val="left"/>
      <w:pPr>
        <w:ind w:left="5988" w:hanging="360"/>
      </w:pPr>
    </w:lvl>
    <w:lvl w:ilvl="5" w:tplc="0409001B" w:tentative="1">
      <w:start w:val="1"/>
      <w:numFmt w:val="lowerRoman"/>
      <w:lvlText w:val="%6."/>
      <w:lvlJc w:val="right"/>
      <w:pPr>
        <w:ind w:left="6708" w:hanging="180"/>
      </w:pPr>
    </w:lvl>
    <w:lvl w:ilvl="6" w:tplc="0409000F" w:tentative="1">
      <w:start w:val="1"/>
      <w:numFmt w:val="decimal"/>
      <w:lvlText w:val="%7."/>
      <w:lvlJc w:val="left"/>
      <w:pPr>
        <w:ind w:left="7428" w:hanging="360"/>
      </w:pPr>
    </w:lvl>
    <w:lvl w:ilvl="7" w:tplc="04090019" w:tentative="1">
      <w:start w:val="1"/>
      <w:numFmt w:val="lowerLetter"/>
      <w:lvlText w:val="%8."/>
      <w:lvlJc w:val="left"/>
      <w:pPr>
        <w:ind w:left="8148" w:hanging="360"/>
      </w:pPr>
    </w:lvl>
    <w:lvl w:ilvl="8" w:tplc="0409001B" w:tentative="1">
      <w:start w:val="1"/>
      <w:numFmt w:val="lowerRoman"/>
      <w:lvlText w:val="%9."/>
      <w:lvlJc w:val="right"/>
      <w:pPr>
        <w:ind w:left="8868" w:hanging="180"/>
      </w:pPr>
    </w:lvl>
  </w:abstractNum>
  <w:abstractNum w:abstractNumId="39" w15:restartNumberingAfterBreak="0">
    <w:nsid w:val="45E10B3F"/>
    <w:multiLevelType w:val="hybridMultilevel"/>
    <w:tmpl w:val="86C4A58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465272F8"/>
    <w:multiLevelType w:val="hybridMultilevel"/>
    <w:tmpl w:val="A3AEDA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49A61F16"/>
    <w:multiLevelType w:val="hybridMultilevel"/>
    <w:tmpl w:val="0AD4EC54"/>
    <w:lvl w:ilvl="0" w:tplc="D6A4023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2" w15:restartNumberingAfterBreak="0">
    <w:nsid w:val="4B75054B"/>
    <w:multiLevelType w:val="hybridMultilevel"/>
    <w:tmpl w:val="9A7C2DD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3" w15:restartNumberingAfterBreak="0">
    <w:nsid w:val="4C4946FB"/>
    <w:multiLevelType w:val="hybridMultilevel"/>
    <w:tmpl w:val="8BF6D95E"/>
    <w:lvl w:ilvl="0" w:tplc="A4E2F84E">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4" w15:restartNumberingAfterBreak="0">
    <w:nsid w:val="5034297F"/>
    <w:multiLevelType w:val="hybridMultilevel"/>
    <w:tmpl w:val="64BA88A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5" w15:restartNumberingAfterBreak="0">
    <w:nsid w:val="52DF734E"/>
    <w:multiLevelType w:val="hybridMultilevel"/>
    <w:tmpl w:val="CB6C7DC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530073F5"/>
    <w:multiLevelType w:val="hybridMultilevel"/>
    <w:tmpl w:val="A18CFDBA"/>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7" w15:restartNumberingAfterBreak="0">
    <w:nsid w:val="53EC3E07"/>
    <w:multiLevelType w:val="hybridMultilevel"/>
    <w:tmpl w:val="8F58B8A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54337D1C"/>
    <w:multiLevelType w:val="hybridMultilevel"/>
    <w:tmpl w:val="FAA07B7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9" w15:restartNumberingAfterBreak="0">
    <w:nsid w:val="55D33E13"/>
    <w:multiLevelType w:val="hybridMultilevel"/>
    <w:tmpl w:val="A18CFDBA"/>
    <w:lvl w:ilvl="0" w:tplc="FFFFFFFF">
      <w:start w:val="1"/>
      <w:numFmt w:val="lowerLetter"/>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50" w15:restartNumberingAfterBreak="0">
    <w:nsid w:val="55F6033B"/>
    <w:multiLevelType w:val="hybridMultilevel"/>
    <w:tmpl w:val="49AE0DD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1" w15:restartNumberingAfterBreak="0">
    <w:nsid w:val="56E553CD"/>
    <w:multiLevelType w:val="hybridMultilevel"/>
    <w:tmpl w:val="3098A70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56E67148"/>
    <w:multiLevelType w:val="hybridMultilevel"/>
    <w:tmpl w:val="CA22361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57BE49F8"/>
    <w:multiLevelType w:val="hybridMultilevel"/>
    <w:tmpl w:val="CD281A7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4" w15:restartNumberingAfterBreak="0">
    <w:nsid w:val="587A7B86"/>
    <w:multiLevelType w:val="hybridMultilevel"/>
    <w:tmpl w:val="2416E3B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5" w15:restartNumberingAfterBreak="0">
    <w:nsid w:val="59F97A18"/>
    <w:multiLevelType w:val="multilevel"/>
    <w:tmpl w:val="7384FB80"/>
    <w:lvl w:ilvl="0">
      <w:start w:val="1"/>
      <w:numFmt w:val="bullet"/>
      <w:lvlText w:val=""/>
      <w:lvlJc w:val="left"/>
      <w:pPr>
        <w:ind w:left="720" w:hanging="360"/>
      </w:pPr>
      <w:rPr>
        <w:rFonts w:ascii="Symbol" w:hAnsi="Symbol" w:hint="default"/>
      </w:rPr>
    </w:lvl>
    <w:lvl w:ilvl="1">
      <w:start w:val="1"/>
      <w:numFmt w:val="bullet"/>
      <w:lvlText w:val=""/>
      <w:lvlJc w:val="left"/>
      <w:pPr>
        <w:ind w:left="1080" w:hanging="360"/>
      </w:pPr>
      <w:rPr>
        <w:rFonts w:ascii="Symbol" w:hAnsi="Symbol" w:hint="default"/>
      </w:r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56" w15:restartNumberingAfterBreak="0">
    <w:nsid w:val="5A757D5B"/>
    <w:multiLevelType w:val="hybridMultilevel"/>
    <w:tmpl w:val="6EC03E8A"/>
    <w:lvl w:ilvl="0" w:tplc="6952E63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7" w15:restartNumberingAfterBreak="0">
    <w:nsid w:val="605F65FD"/>
    <w:multiLevelType w:val="hybridMultilevel"/>
    <w:tmpl w:val="442EF5D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6482103C"/>
    <w:multiLevelType w:val="multilevel"/>
    <w:tmpl w:val="8258F566"/>
    <w:lvl w:ilvl="0">
      <w:start w:val="1"/>
      <w:numFmt w:val="decimal"/>
      <w:lvlText w:val="%1."/>
      <w:lvlJc w:val="left"/>
      <w:pPr>
        <w:ind w:left="360" w:hanging="360"/>
      </w:pPr>
    </w:lvl>
    <w:lvl w:ilvl="1">
      <w:start w:val="1"/>
      <w:numFmt w:val="bullet"/>
      <w:lvlText w:val=""/>
      <w:lvlJc w:val="left"/>
      <w:pPr>
        <w:ind w:left="720" w:hanging="360"/>
      </w:pPr>
      <w:rPr>
        <w:rFonts w:ascii="Symbol" w:hAnsi="Symbol"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9" w15:restartNumberingAfterBreak="0">
    <w:nsid w:val="66116B3F"/>
    <w:multiLevelType w:val="hybridMultilevel"/>
    <w:tmpl w:val="DFC632D2"/>
    <w:lvl w:ilvl="0" w:tplc="425C46B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E353AF5"/>
    <w:multiLevelType w:val="hybridMultilevel"/>
    <w:tmpl w:val="150E3A8A"/>
    <w:lvl w:ilvl="0" w:tplc="BDBC726C">
      <w:start w:val="1"/>
      <w:numFmt w:val="lowerLetter"/>
      <w:lvlText w:val="(%1)"/>
      <w:lvlJc w:val="left"/>
      <w:pPr>
        <w:ind w:left="5892" w:hanging="852"/>
      </w:pPr>
      <w:rPr>
        <w:rFonts w:hint="default"/>
      </w:rPr>
    </w:lvl>
    <w:lvl w:ilvl="1" w:tplc="04090019" w:tentative="1">
      <w:start w:val="1"/>
      <w:numFmt w:val="lowerLetter"/>
      <w:lvlText w:val="%2."/>
      <w:lvlJc w:val="left"/>
      <w:pPr>
        <w:ind w:left="6120" w:hanging="360"/>
      </w:pPr>
    </w:lvl>
    <w:lvl w:ilvl="2" w:tplc="0409001B" w:tentative="1">
      <w:start w:val="1"/>
      <w:numFmt w:val="lowerRoman"/>
      <w:lvlText w:val="%3."/>
      <w:lvlJc w:val="right"/>
      <w:pPr>
        <w:ind w:left="6840" w:hanging="180"/>
      </w:pPr>
    </w:lvl>
    <w:lvl w:ilvl="3" w:tplc="0409000F" w:tentative="1">
      <w:start w:val="1"/>
      <w:numFmt w:val="decimal"/>
      <w:lvlText w:val="%4."/>
      <w:lvlJc w:val="left"/>
      <w:pPr>
        <w:ind w:left="7560" w:hanging="360"/>
      </w:pPr>
    </w:lvl>
    <w:lvl w:ilvl="4" w:tplc="04090019" w:tentative="1">
      <w:start w:val="1"/>
      <w:numFmt w:val="lowerLetter"/>
      <w:lvlText w:val="%5."/>
      <w:lvlJc w:val="left"/>
      <w:pPr>
        <w:ind w:left="8280" w:hanging="360"/>
      </w:pPr>
    </w:lvl>
    <w:lvl w:ilvl="5" w:tplc="0409001B" w:tentative="1">
      <w:start w:val="1"/>
      <w:numFmt w:val="lowerRoman"/>
      <w:lvlText w:val="%6."/>
      <w:lvlJc w:val="right"/>
      <w:pPr>
        <w:ind w:left="9000" w:hanging="180"/>
      </w:pPr>
    </w:lvl>
    <w:lvl w:ilvl="6" w:tplc="0409000F" w:tentative="1">
      <w:start w:val="1"/>
      <w:numFmt w:val="decimal"/>
      <w:lvlText w:val="%7."/>
      <w:lvlJc w:val="left"/>
      <w:pPr>
        <w:ind w:left="9720" w:hanging="360"/>
      </w:pPr>
    </w:lvl>
    <w:lvl w:ilvl="7" w:tplc="04090019" w:tentative="1">
      <w:start w:val="1"/>
      <w:numFmt w:val="lowerLetter"/>
      <w:lvlText w:val="%8."/>
      <w:lvlJc w:val="left"/>
      <w:pPr>
        <w:ind w:left="10440" w:hanging="360"/>
      </w:pPr>
    </w:lvl>
    <w:lvl w:ilvl="8" w:tplc="0409001B" w:tentative="1">
      <w:start w:val="1"/>
      <w:numFmt w:val="lowerRoman"/>
      <w:lvlText w:val="%9."/>
      <w:lvlJc w:val="right"/>
      <w:pPr>
        <w:ind w:left="11160" w:hanging="180"/>
      </w:pPr>
    </w:lvl>
  </w:abstractNum>
  <w:abstractNum w:abstractNumId="61" w15:restartNumberingAfterBreak="0">
    <w:nsid w:val="73D76268"/>
    <w:multiLevelType w:val="hybridMultilevel"/>
    <w:tmpl w:val="0A502052"/>
    <w:lvl w:ilvl="0" w:tplc="04090001">
      <w:start w:val="1"/>
      <w:numFmt w:val="bullet"/>
      <w:lvlText w:val=""/>
      <w:lvlJc w:val="left"/>
      <w:pPr>
        <w:ind w:left="1512" w:hanging="360"/>
      </w:pPr>
      <w:rPr>
        <w:rFonts w:ascii="Symbol" w:hAnsi="Symbol" w:hint="default"/>
      </w:rPr>
    </w:lvl>
    <w:lvl w:ilvl="1" w:tplc="04090003" w:tentative="1">
      <w:start w:val="1"/>
      <w:numFmt w:val="bullet"/>
      <w:lvlText w:val="o"/>
      <w:lvlJc w:val="left"/>
      <w:pPr>
        <w:ind w:left="2232" w:hanging="360"/>
      </w:pPr>
      <w:rPr>
        <w:rFonts w:ascii="Courier New" w:hAnsi="Courier New" w:cs="Courier New" w:hint="default"/>
      </w:rPr>
    </w:lvl>
    <w:lvl w:ilvl="2" w:tplc="04090005" w:tentative="1">
      <w:start w:val="1"/>
      <w:numFmt w:val="bullet"/>
      <w:lvlText w:val=""/>
      <w:lvlJc w:val="left"/>
      <w:pPr>
        <w:ind w:left="2952" w:hanging="360"/>
      </w:pPr>
      <w:rPr>
        <w:rFonts w:ascii="Wingdings" w:hAnsi="Wingdings" w:hint="default"/>
      </w:rPr>
    </w:lvl>
    <w:lvl w:ilvl="3" w:tplc="04090001" w:tentative="1">
      <w:start w:val="1"/>
      <w:numFmt w:val="bullet"/>
      <w:lvlText w:val=""/>
      <w:lvlJc w:val="left"/>
      <w:pPr>
        <w:ind w:left="3672" w:hanging="360"/>
      </w:pPr>
      <w:rPr>
        <w:rFonts w:ascii="Symbol" w:hAnsi="Symbol" w:hint="default"/>
      </w:rPr>
    </w:lvl>
    <w:lvl w:ilvl="4" w:tplc="04090003" w:tentative="1">
      <w:start w:val="1"/>
      <w:numFmt w:val="bullet"/>
      <w:lvlText w:val="o"/>
      <w:lvlJc w:val="left"/>
      <w:pPr>
        <w:ind w:left="4392" w:hanging="360"/>
      </w:pPr>
      <w:rPr>
        <w:rFonts w:ascii="Courier New" w:hAnsi="Courier New" w:cs="Courier New" w:hint="default"/>
      </w:rPr>
    </w:lvl>
    <w:lvl w:ilvl="5" w:tplc="04090005" w:tentative="1">
      <w:start w:val="1"/>
      <w:numFmt w:val="bullet"/>
      <w:lvlText w:val=""/>
      <w:lvlJc w:val="left"/>
      <w:pPr>
        <w:ind w:left="5112" w:hanging="360"/>
      </w:pPr>
      <w:rPr>
        <w:rFonts w:ascii="Wingdings" w:hAnsi="Wingdings" w:hint="default"/>
      </w:rPr>
    </w:lvl>
    <w:lvl w:ilvl="6" w:tplc="04090001" w:tentative="1">
      <w:start w:val="1"/>
      <w:numFmt w:val="bullet"/>
      <w:lvlText w:val=""/>
      <w:lvlJc w:val="left"/>
      <w:pPr>
        <w:ind w:left="5832" w:hanging="360"/>
      </w:pPr>
      <w:rPr>
        <w:rFonts w:ascii="Symbol" w:hAnsi="Symbol" w:hint="default"/>
      </w:rPr>
    </w:lvl>
    <w:lvl w:ilvl="7" w:tplc="04090003" w:tentative="1">
      <w:start w:val="1"/>
      <w:numFmt w:val="bullet"/>
      <w:lvlText w:val="o"/>
      <w:lvlJc w:val="left"/>
      <w:pPr>
        <w:ind w:left="6552" w:hanging="360"/>
      </w:pPr>
      <w:rPr>
        <w:rFonts w:ascii="Courier New" w:hAnsi="Courier New" w:cs="Courier New" w:hint="default"/>
      </w:rPr>
    </w:lvl>
    <w:lvl w:ilvl="8" w:tplc="04090005" w:tentative="1">
      <w:start w:val="1"/>
      <w:numFmt w:val="bullet"/>
      <w:lvlText w:val=""/>
      <w:lvlJc w:val="left"/>
      <w:pPr>
        <w:ind w:left="7272" w:hanging="360"/>
      </w:pPr>
      <w:rPr>
        <w:rFonts w:ascii="Wingdings" w:hAnsi="Wingdings" w:hint="default"/>
      </w:rPr>
    </w:lvl>
  </w:abstractNum>
  <w:abstractNum w:abstractNumId="62" w15:restartNumberingAfterBreak="0">
    <w:nsid w:val="74537062"/>
    <w:multiLevelType w:val="multilevel"/>
    <w:tmpl w:val="8258F566"/>
    <w:lvl w:ilvl="0">
      <w:start w:val="1"/>
      <w:numFmt w:val="decimal"/>
      <w:lvlText w:val="%1."/>
      <w:lvlJc w:val="left"/>
      <w:pPr>
        <w:ind w:left="360" w:hanging="360"/>
      </w:pPr>
    </w:lvl>
    <w:lvl w:ilvl="1">
      <w:start w:val="1"/>
      <w:numFmt w:val="bullet"/>
      <w:lvlText w:val=""/>
      <w:lvlJc w:val="left"/>
      <w:pPr>
        <w:ind w:left="720" w:hanging="360"/>
      </w:pPr>
      <w:rPr>
        <w:rFonts w:ascii="Symbol" w:hAnsi="Symbol"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3" w15:restartNumberingAfterBreak="0">
    <w:nsid w:val="78971AC5"/>
    <w:multiLevelType w:val="hybridMultilevel"/>
    <w:tmpl w:val="47AC058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4" w15:restartNumberingAfterBreak="0">
    <w:nsid w:val="7B694A39"/>
    <w:multiLevelType w:val="hybridMultilevel"/>
    <w:tmpl w:val="5F721596"/>
    <w:lvl w:ilvl="0" w:tplc="605C23F2">
      <w:start w:val="1"/>
      <w:numFmt w:val="lowerLetter"/>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7BBB0C89"/>
    <w:multiLevelType w:val="hybridMultilevel"/>
    <w:tmpl w:val="CFEC292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7F314D39"/>
    <w:multiLevelType w:val="hybridMultilevel"/>
    <w:tmpl w:val="E572E06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966738721">
    <w:abstractNumId w:val="40"/>
  </w:num>
  <w:num w:numId="2" w16cid:durableId="166068281">
    <w:abstractNumId w:val="37"/>
  </w:num>
  <w:num w:numId="3" w16cid:durableId="448816350">
    <w:abstractNumId w:val="22"/>
  </w:num>
  <w:num w:numId="4" w16cid:durableId="1798834890">
    <w:abstractNumId w:val="9"/>
  </w:num>
  <w:num w:numId="5" w16cid:durableId="750811941">
    <w:abstractNumId w:val="19"/>
  </w:num>
  <w:num w:numId="6" w16cid:durableId="709769082">
    <w:abstractNumId w:val="0"/>
  </w:num>
  <w:num w:numId="7" w16cid:durableId="253444286">
    <w:abstractNumId w:val="6"/>
  </w:num>
  <w:num w:numId="8" w16cid:durableId="812596685">
    <w:abstractNumId w:val="8"/>
  </w:num>
  <w:num w:numId="9" w16cid:durableId="93403310">
    <w:abstractNumId w:val="51"/>
  </w:num>
  <w:num w:numId="10" w16cid:durableId="626815335">
    <w:abstractNumId w:val="32"/>
  </w:num>
  <w:num w:numId="11" w16cid:durableId="484132583">
    <w:abstractNumId w:val="47"/>
  </w:num>
  <w:num w:numId="12" w16cid:durableId="13768453">
    <w:abstractNumId w:val="53"/>
  </w:num>
  <w:num w:numId="13" w16cid:durableId="917786837">
    <w:abstractNumId w:val="43"/>
  </w:num>
  <w:num w:numId="14" w16cid:durableId="1665468882">
    <w:abstractNumId w:val="26"/>
  </w:num>
  <w:num w:numId="15" w16cid:durableId="1202671819">
    <w:abstractNumId w:val="46"/>
  </w:num>
  <w:num w:numId="16" w16cid:durableId="1239711024">
    <w:abstractNumId w:val="41"/>
  </w:num>
  <w:num w:numId="17" w16cid:durableId="232785209">
    <w:abstractNumId w:val="49"/>
  </w:num>
  <w:num w:numId="18" w16cid:durableId="1786997639">
    <w:abstractNumId w:val="38"/>
  </w:num>
  <w:num w:numId="19" w16cid:durableId="1702780325">
    <w:abstractNumId w:val="44"/>
  </w:num>
  <w:num w:numId="20" w16cid:durableId="1309817879">
    <w:abstractNumId w:val="17"/>
  </w:num>
  <w:num w:numId="21" w16cid:durableId="872110907">
    <w:abstractNumId w:val="56"/>
  </w:num>
  <w:num w:numId="22" w16cid:durableId="1013605497">
    <w:abstractNumId w:val="20"/>
  </w:num>
  <w:num w:numId="23" w16cid:durableId="1963998244">
    <w:abstractNumId w:val="2"/>
  </w:num>
  <w:num w:numId="24" w16cid:durableId="1746879213">
    <w:abstractNumId w:val="64"/>
  </w:num>
  <w:num w:numId="25" w16cid:durableId="215044917">
    <w:abstractNumId w:val="52"/>
  </w:num>
  <w:num w:numId="26" w16cid:durableId="1276131185">
    <w:abstractNumId w:val="28"/>
  </w:num>
  <w:num w:numId="27" w16cid:durableId="1178035782">
    <w:abstractNumId w:val="65"/>
  </w:num>
  <w:num w:numId="28" w16cid:durableId="1805461493">
    <w:abstractNumId w:val="27"/>
  </w:num>
  <w:num w:numId="29" w16cid:durableId="1550219289">
    <w:abstractNumId w:val="59"/>
  </w:num>
  <w:num w:numId="30" w16cid:durableId="65345233">
    <w:abstractNumId w:val="66"/>
  </w:num>
  <w:num w:numId="31" w16cid:durableId="627669184">
    <w:abstractNumId w:val="57"/>
  </w:num>
  <w:num w:numId="32" w16cid:durableId="1170412879">
    <w:abstractNumId w:val="23"/>
  </w:num>
  <w:num w:numId="33" w16cid:durableId="389813559">
    <w:abstractNumId w:val="4"/>
  </w:num>
  <w:num w:numId="34" w16cid:durableId="1509295772">
    <w:abstractNumId w:val="34"/>
  </w:num>
  <w:num w:numId="35" w16cid:durableId="1460681455">
    <w:abstractNumId w:val="10"/>
  </w:num>
  <w:num w:numId="36" w16cid:durableId="1126237845">
    <w:abstractNumId w:val="29"/>
  </w:num>
  <w:num w:numId="37" w16cid:durableId="1316184730">
    <w:abstractNumId w:val="61"/>
  </w:num>
  <w:num w:numId="38" w16cid:durableId="119496178">
    <w:abstractNumId w:val="48"/>
  </w:num>
  <w:num w:numId="39" w16cid:durableId="472405584">
    <w:abstractNumId w:val="7"/>
  </w:num>
  <w:num w:numId="40" w16cid:durableId="296763818">
    <w:abstractNumId w:val="58"/>
  </w:num>
  <w:num w:numId="41" w16cid:durableId="1426881355">
    <w:abstractNumId w:val="35"/>
  </w:num>
  <w:num w:numId="42" w16cid:durableId="759250990">
    <w:abstractNumId w:val="62"/>
  </w:num>
  <w:num w:numId="43" w16cid:durableId="1636640231">
    <w:abstractNumId w:val="55"/>
  </w:num>
  <w:num w:numId="44" w16cid:durableId="1294404870">
    <w:abstractNumId w:val="36"/>
  </w:num>
  <w:num w:numId="45" w16cid:durableId="1290550771">
    <w:abstractNumId w:val="18"/>
  </w:num>
  <w:num w:numId="46" w16cid:durableId="1075980259">
    <w:abstractNumId w:val="45"/>
  </w:num>
  <w:num w:numId="47" w16cid:durableId="1775201932">
    <w:abstractNumId w:val="21"/>
  </w:num>
  <w:num w:numId="48" w16cid:durableId="1236084860">
    <w:abstractNumId w:val="16"/>
  </w:num>
  <w:num w:numId="49" w16cid:durableId="800726876">
    <w:abstractNumId w:val="13"/>
  </w:num>
  <w:num w:numId="50" w16cid:durableId="986668745">
    <w:abstractNumId w:val="15"/>
  </w:num>
  <w:num w:numId="51" w16cid:durableId="701132020">
    <w:abstractNumId w:val="11"/>
  </w:num>
  <w:num w:numId="52" w16cid:durableId="452747556">
    <w:abstractNumId w:val="63"/>
  </w:num>
  <w:num w:numId="53" w16cid:durableId="616646898">
    <w:abstractNumId w:val="24"/>
  </w:num>
  <w:num w:numId="54" w16cid:durableId="1706056982">
    <w:abstractNumId w:val="1"/>
  </w:num>
  <w:num w:numId="55" w16cid:durableId="1186285668">
    <w:abstractNumId w:val="12"/>
  </w:num>
  <w:num w:numId="56" w16cid:durableId="126050909">
    <w:abstractNumId w:val="60"/>
  </w:num>
  <w:num w:numId="57" w16cid:durableId="1113937060">
    <w:abstractNumId w:val="14"/>
  </w:num>
  <w:num w:numId="58" w16cid:durableId="1204905465">
    <w:abstractNumId w:val="42"/>
  </w:num>
  <w:num w:numId="59" w16cid:durableId="54622991">
    <w:abstractNumId w:val="39"/>
  </w:num>
  <w:num w:numId="60" w16cid:durableId="1623925530">
    <w:abstractNumId w:val="54"/>
  </w:num>
  <w:num w:numId="61" w16cid:durableId="1233932437">
    <w:abstractNumId w:val="33"/>
  </w:num>
  <w:num w:numId="62" w16cid:durableId="1246037723">
    <w:abstractNumId w:val="25"/>
  </w:num>
  <w:num w:numId="63" w16cid:durableId="1749185801">
    <w:abstractNumId w:val="31"/>
  </w:num>
  <w:num w:numId="64" w16cid:durableId="642391785">
    <w:abstractNumId w:val="3"/>
  </w:num>
  <w:num w:numId="65" w16cid:durableId="80761027">
    <w:abstractNumId w:val="5"/>
  </w:num>
  <w:num w:numId="66" w16cid:durableId="1220824440">
    <w:abstractNumId w:val="30"/>
  </w:num>
  <w:num w:numId="67" w16cid:durableId="1415083761">
    <w:abstractNumId w:val="5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07B0E"/>
    <w:rsid w:val="00003150"/>
    <w:rsid w:val="000063C8"/>
    <w:rsid w:val="00006E8A"/>
    <w:rsid w:val="000144FD"/>
    <w:rsid w:val="00016FB7"/>
    <w:rsid w:val="00017A95"/>
    <w:rsid w:val="00021CC0"/>
    <w:rsid w:val="000234BB"/>
    <w:rsid w:val="00026505"/>
    <w:rsid w:val="00027200"/>
    <w:rsid w:val="000312FB"/>
    <w:rsid w:val="000326DA"/>
    <w:rsid w:val="000336D4"/>
    <w:rsid w:val="00034183"/>
    <w:rsid w:val="000359E1"/>
    <w:rsid w:val="00040B96"/>
    <w:rsid w:val="00041571"/>
    <w:rsid w:val="00042F44"/>
    <w:rsid w:val="00044701"/>
    <w:rsid w:val="0004490D"/>
    <w:rsid w:val="00044B38"/>
    <w:rsid w:val="00046E2C"/>
    <w:rsid w:val="0005354F"/>
    <w:rsid w:val="000542F8"/>
    <w:rsid w:val="000545C1"/>
    <w:rsid w:val="00055791"/>
    <w:rsid w:val="00056D5C"/>
    <w:rsid w:val="000603F7"/>
    <w:rsid w:val="000606C6"/>
    <w:rsid w:val="00062C95"/>
    <w:rsid w:val="0006606C"/>
    <w:rsid w:val="00072EFC"/>
    <w:rsid w:val="000736C2"/>
    <w:rsid w:val="00073D04"/>
    <w:rsid w:val="00074676"/>
    <w:rsid w:val="00074E75"/>
    <w:rsid w:val="00075288"/>
    <w:rsid w:val="00076054"/>
    <w:rsid w:val="00080EDC"/>
    <w:rsid w:val="00081D04"/>
    <w:rsid w:val="00082660"/>
    <w:rsid w:val="000850B0"/>
    <w:rsid w:val="000864FB"/>
    <w:rsid w:val="00090235"/>
    <w:rsid w:val="00093A42"/>
    <w:rsid w:val="00094CC0"/>
    <w:rsid w:val="00095CA8"/>
    <w:rsid w:val="0009690C"/>
    <w:rsid w:val="000A0181"/>
    <w:rsid w:val="000A1008"/>
    <w:rsid w:val="000A14C2"/>
    <w:rsid w:val="000B1FC1"/>
    <w:rsid w:val="000B20EB"/>
    <w:rsid w:val="000B242F"/>
    <w:rsid w:val="000B5F4A"/>
    <w:rsid w:val="000C488B"/>
    <w:rsid w:val="000D0ED8"/>
    <w:rsid w:val="000D222C"/>
    <w:rsid w:val="000D50AC"/>
    <w:rsid w:val="000D6E39"/>
    <w:rsid w:val="000D7C8D"/>
    <w:rsid w:val="000E10C8"/>
    <w:rsid w:val="000E398E"/>
    <w:rsid w:val="000E3F1D"/>
    <w:rsid w:val="000E53A0"/>
    <w:rsid w:val="000E6529"/>
    <w:rsid w:val="000E6EA7"/>
    <w:rsid w:val="000E7EA4"/>
    <w:rsid w:val="000F050F"/>
    <w:rsid w:val="000F3501"/>
    <w:rsid w:val="000F54E8"/>
    <w:rsid w:val="000F59B8"/>
    <w:rsid w:val="00101AFC"/>
    <w:rsid w:val="00101FCF"/>
    <w:rsid w:val="0010376F"/>
    <w:rsid w:val="0010380E"/>
    <w:rsid w:val="00105691"/>
    <w:rsid w:val="00105A40"/>
    <w:rsid w:val="0011132C"/>
    <w:rsid w:val="00115480"/>
    <w:rsid w:val="00117F9D"/>
    <w:rsid w:val="0012248F"/>
    <w:rsid w:val="001227BE"/>
    <w:rsid w:val="00122EDC"/>
    <w:rsid w:val="001270F0"/>
    <w:rsid w:val="00130B97"/>
    <w:rsid w:val="00131880"/>
    <w:rsid w:val="00132A5A"/>
    <w:rsid w:val="001346F5"/>
    <w:rsid w:val="00135818"/>
    <w:rsid w:val="00144BAE"/>
    <w:rsid w:val="00145F8E"/>
    <w:rsid w:val="00146150"/>
    <w:rsid w:val="001466AB"/>
    <w:rsid w:val="00150D7C"/>
    <w:rsid w:val="00151581"/>
    <w:rsid w:val="0015232F"/>
    <w:rsid w:val="001537DD"/>
    <w:rsid w:val="001540C2"/>
    <w:rsid w:val="00154BDA"/>
    <w:rsid w:val="00155202"/>
    <w:rsid w:val="00160E54"/>
    <w:rsid w:val="00162456"/>
    <w:rsid w:val="00164302"/>
    <w:rsid w:val="001649D3"/>
    <w:rsid w:val="00164A93"/>
    <w:rsid w:val="00164B28"/>
    <w:rsid w:val="00172CAE"/>
    <w:rsid w:val="0017360A"/>
    <w:rsid w:val="00173937"/>
    <w:rsid w:val="00174065"/>
    <w:rsid w:val="00175AD1"/>
    <w:rsid w:val="00177C7D"/>
    <w:rsid w:val="00186BE2"/>
    <w:rsid w:val="00190876"/>
    <w:rsid w:val="00191F8A"/>
    <w:rsid w:val="0019205C"/>
    <w:rsid w:val="001926CB"/>
    <w:rsid w:val="001961E8"/>
    <w:rsid w:val="001A27F4"/>
    <w:rsid w:val="001A2D57"/>
    <w:rsid w:val="001A5CE4"/>
    <w:rsid w:val="001A6EE2"/>
    <w:rsid w:val="001B04A3"/>
    <w:rsid w:val="001B243F"/>
    <w:rsid w:val="001B382E"/>
    <w:rsid w:val="001B38BF"/>
    <w:rsid w:val="001B4BB1"/>
    <w:rsid w:val="001B65DB"/>
    <w:rsid w:val="001B6943"/>
    <w:rsid w:val="001B7611"/>
    <w:rsid w:val="001B767B"/>
    <w:rsid w:val="001B7AEC"/>
    <w:rsid w:val="001C0A38"/>
    <w:rsid w:val="001C0EAC"/>
    <w:rsid w:val="001C1AA0"/>
    <w:rsid w:val="001C2A70"/>
    <w:rsid w:val="001C73A8"/>
    <w:rsid w:val="001C7916"/>
    <w:rsid w:val="001D0DDD"/>
    <w:rsid w:val="001D1CE9"/>
    <w:rsid w:val="001D323E"/>
    <w:rsid w:val="001D34CA"/>
    <w:rsid w:val="001D3FB4"/>
    <w:rsid w:val="001D5A4C"/>
    <w:rsid w:val="001D72A3"/>
    <w:rsid w:val="001D7FA0"/>
    <w:rsid w:val="001E092A"/>
    <w:rsid w:val="001E3419"/>
    <w:rsid w:val="001E5843"/>
    <w:rsid w:val="001E5EDB"/>
    <w:rsid w:val="001E7597"/>
    <w:rsid w:val="001F0C86"/>
    <w:rsid w:val="001F69C4"/>
    <w:rsid w:val="001F714D"/>
    <w:rsid w:val="00204B5D"/>
    <w:rsid w:val="00204C11"/>
    <w:rsid w:val="00204D7B"/>
    <w:rsid w:val="00207ED5"/>
    <w:rsid w:val="002103EA"/>
    <w:rsid w:val="002157CB"/>
    <w:rsid w:val="0021706C"/>
    <w:rsid w:val="002202E6"/>
    <w:rsid w:val="00220923"/>
    <w:rsid w:val="00222941"/>
    <w:rsid w:val="00222C0D"/>
    <w:rsid w:val="00223889"/>
    <w:rsid w:val="00224D9B"/>
    <w:rsid w:val="00224F6D"/>
    <w:rsid w:val="00225D6F"/>
    <w:rsid w:val="00225EEC"/>
    <w:rsid w:val="002278A6"/>
    <w:rsid w:val="00230142"/>
    <w:rsid w:val="00235307"/>
    <w:rsid w:val="00236654"/>
    <w:rsid w:val="00236FDA"/>
    <w:rsid w:val="00241C3A"/>
    <w:rsid w:val="00244ED7"/>
    <w:rsid w:val="002462C1"/>
    <w:rsid w:val="0025119E"/>
    <w:rsid w:val="00252B1D"/>
    <w:rsid w:val="002538D0"/>
    <w:rsid w:val="00253A6A"/>
    <w:rsid w:val="002540A6"/>
    <w:rsid w:val="00254678"/>
    <w:rsid w:val="00254FFE"/>
    <w:rsid w:val="00260721"/>
    <w:rsid w:val="00260DC1"/>
    <w:rsid w:val="002622CD"/>
    <w:rsid w:val="00262FA7"/>
    <w:rsid w:val="002661BC"/>
    <w:rsid w:val="002663D9"/>
    <w:rsid w:val="002770AA"/>
    <w:rsid w:val="00281F46"/>
    <w:rsid w:val="00283BF0"/>
    <w:rsid w:val="002903E4"/>
    <w:rsid w:val="002904C6"/>
    <w:rsid w:val="00293F77"/>
    <w:rsid w:val="00295EE3"/>
    <w:rsid w:val="0029646D"/>
    <w:rsid w:val="00296753"/>
    <w:rsid w:val="00296F02"/>
    <w:rsid w:val="00297D32"/>
    <w:rsid w:val="002A0371"/>
    <w:rsid w:val="002A49B4"/>
    <w:rsid w:val="002A542C"/>
    <w:rsid w:val="002B2061"/>
    <w:rsid w:val="002B5826"/>
    <w:rsid w:val="002C0D1E"/>
    <w:rsid w:val="002C0F73"/>
    <w:rsid w:val="002C1D9B"/>
    <w:rsid w:val="002C562F"/>
    <w:rsid w:val="002C7EF3"/>
    <w:rsid w:val="002E34B3"/>
    <w:rsid w:val="002E5014"/>
    <w:rsid w:val="002E768B"/>
    <w:rsid w:val="002F07DA"/>
    <w:rsid w:val="002F0CAC"/>
    <w:rsid w:val="002F0EBE"/>
    <w:rsid w:val="002F20ED"/>
    <w:rsid w:val="002F438C"/>
    <w:rsid w:val="002F53CA"/>
    <w:rsid w:val="002F543E"/>
    <w:rsid w:val="002F6F96"/>
    <w:rsid w:val="002F777B"/>
    <w:rsid w:val="003004AC"/>
    <w:rsid w:val="003016A3"/>
    <w:rsid w:val="00301744"/>
    <w:rsid w:val="00301B27"/>
    <w:rsid w:val="0030253B"/>
    <w:rsid w:val="00302C96"/>
    <w:rsid w:val="00310258"/>
    <w:rsid w:val="00310C0B"/>
    <w:rsid w:val="00312925"/>
    <w:rsid w:val="00313560"/>
    <w:rsid w:val="00313A77"/>
    <w:rsid w:val="00315382"/>
    <w:rsid w:val="0031639F"/>
    <w:rsid w:val="003211BC"/>
    <w:rsid w:val="00321AD3"/>
    <w:rsid w:val="00321E8A"/>
    <w:rsid w:val="00322E4C"/>
    <w:rsid w:val="003247C2"/>
    <w:rsid w:val="00332496"/>
    <w:rsid w:val="00332C99"/>
    <w:rsid w:val="00334803"/>
    <w:rsid w:val="003372EB"/>
    <w:rsid w:val="00337C37"/>
    <w:rsid w:val="0034022D"/>
    <w:rsid w:val="0034273F"/>
    <w:rsid w:val="0034723A"/>
    <w:rsid w:val="003501EE"/>
    <w:rsid w:val="0035280A"/>
    <w:rsid w:val="00354D11"/>
    <w:rsid w:val="0036221F"/>
    <w:rsid w:val="00362D2F"/>
    <w:rsid w:val="003632E4"/>
    <w:rsid w:val="00363ED3"/>
    <w:rsid w:val="00366348"/>
    <w:rsid w:val="00370EFB"/>
    <w:rsid w:val="00374CC0"/>
    <w:rsid w:val="0037511D"/>
    <w:rsid w:val="0037769C"/>
    <w:rsid w:val="00380620"/>
    <w:rsid w:val="0038226E"/>
    <w:rsid w:val="00384A78"/>
    <w:rsid w:val="00387A1E"/>
    <w:rsid w:val="00390B77"/>
    <w:rsid w:val="00394D21"/>
    <w:rsid w:val="003960DD"/>
    <w:rsid w:val="00397F85"/>
    <w:rsid w:val="003A03F1"/>
    <w:rsid w:val="003A147A"/>
    <w:rsid w:val="003A3E5D"/>
    <w:rsid w:val="003A438D"/>
    <w:rsid w:val="003B00B5"/>
    <w:rsid w:val="003B2041"/>
    <w:rsid w:val="003B4095"/>
    <w:rsid w:val="003B618D"/>
    <w:rsid w:val="003B78EE"/>
    <w:rsid w:val="003C10EE"/>
    <w:rsid w:val="003C182D"/>
    <w:rsid w:val="003C3789"/>
    <w:rsid w:val="003C5DCF"/>
    <w:rsid w:val="003D156D"/>
    <w:rsid w:val="003D3622"/>
    <w:rsid w:val="003D389F"/>
    <w:rsid w:val="003D4D37"/>
    <w:rsid w:val="003D4EFE"/>
    <w:rsid w:val="003E134D"/>
    <w:rsid w:val="003E1AB7"/>
    <w:rsid w:val="003E3E1E"/>
    <w:rsid w:val="003E6003"/>
    <w:rsid w:val="003E6D1D"/>
    <w:rsid w:val="003E7CF0"/>
    <w:rsid w:val="003F020F"/>
    <w:rsid w:val="003F0DD3"/>
    <w:rsid w:val="003F0E7C"/>
    <w:rsid w:val="003F1A8D"/>
    <w:rsid w:val="003F1C14"/>
    <w:rsid w:val="003F6343"/>
    <w:rsid w:val="00400036"/>
    <w:rsid w:val="00403002"/>
    <w:rsid w:val="00405A91"/>
    <w:rsid w:val="004068D7"/>
    <w:rsid w:val="00410750"/>
    <w:rsid w:val="004141E7"/>
    <w:rsid w:val="00416F7C"/>
    <w:rsid w:val="00417596"/>
    <w:rsid w:val="00417AB1"/>
    <w:rsid w:val="0042336D"/>
    <w:rsid w:val="004236ED"/>
    <w:rsid w:val="00425B5F"/>
    <w:rsid w:val="004317E8"/>
    <w:rsid w:val="00432059"/>
    <w:rsid w:val="004320AD"/>
    <w:rsid w:val="004341D2"/>
    <w:rsid w:val="00434F51"/>
    <w:rsid w:val="00435231"/>
    <w:rsid w:val="0043682E"/>
    <w:rsid w:val="0044040A"/>
    <w:rsid w:val="00442C54"/>
    <w:rsid w:val="004436B8"/>
    <w:rsid w:val="004444BE"/>
    <w:rsid w:val="00444EE4"/>
    <w:rsid w:val="00446B63"/>
    <w:rsid w:val="00450964"/>
    <w:rsid w:val="00452F9D"/>
    <w:rsid w:val="00453ED1"/>
    <w:rsid w:val="0045619A"/>
    <w:rsid w:val="004562DB"/>
    <w:rsid w:val="00460D0E"/>
    <w:rsid w:val="004615A6"/>
    <w:rsid w:val="004642B5"/>
    <w:rsid w:val="00464F26"/>
    <w:rsid w:val="00467865"/>
    <w:rsid w:val="004729BF"/>
    <w:rsid w:val="00474DD8"/>
    <w:rsid w:val="00476A83"/>
    <w:rsid w:val="00480A0F"/>
    <w:rsid w:val="00483501"/>
    <w:rsid w:val="00492A75"/>
    <w:rsid w:val="004932DE"/>
    <w:rsid w:val="00494E1B"/>
    <w:rsid w:val="00495ADD"/>
    <w:rsid w:val="00496816"/>
    <w:rsid w:val="004A2D24"/>
    <w:rsid w:val="004A51A7"/>
    <w:rsid w:val="004A567E"/>
    <w:rsid w:val="004A5D5E"/>
    <w:rsid w:val="004A6679"/>
    <w:rsid w:val="004B50AD"/>
    <w:rsid w:val="004C3209"/>
    <w:rsid w:val="004C6478"/>
    <w:rsid w:val="004C738B"/>
    <w:rsid w:val="004C7C38"/>
    <w:rsid w:val="004D2E1D"/>
    <w:rsid w:val="004D30C7"/>
    <w:rsid w:val="004D69E1"/>
    <w:rsid w:val="004D7668"/>
    <w:rsid w:val="004D778D"/>
    <w:rsid w:val="004D7917"/>
    <w:rsid w:val="004E16E0"/>
    <w:rsid w:val="004E4495"/>
    <w:rsid w:val="004E7458"/>
    <w:rsid w:val="004F0118"/>
    <w:rsid w:val="004F4BE4"/>
    <w:rsid w:val="004F56E4"/>
    <w:rsid w:val="005005E7"/>
    <w:rsid w:val="0050439B"/>
    <w:rsid w:val="00504BA9"/>
    <w:rsid w:val="005104B4"/>
    <w:rsid w:val="00510C6E"/>
    <w:rsid w:val="00512536"/>
    <w:rsid w:val="00512A73"/>
    <w:rsid w:val="00513210"/>
    <w:rsid w:val="00515A0B"/>
    <w:rsid w:val="00515D20"/>
    <w:rsid w:val="00520609"/>
    <w:rsid w:val="00523F26"/>
    <w:rsid w:val="0052526F"/>
    <w:rsid w:val="0052663B"/>
    <w:rsid w:val="0053084C"/>
    <w:rsid w:val="00530E66"/>
    <w:rsid w:val="0053372B"/>
    <w:rsid w:val="005344FC"/>
    <w:rsid w:val="00534889"/>
    <w:rsid w:val="005373A3"/>
    <w:rsid w:val="00537588"/>
    <w:rsid w:val="00537610"/>
    <w:rsid w:val="005419F7"/>
    <w:rsid w:val="005423FC"/>
    <w:rsid w:val="005464EF"/>
    <w:rsid w:val="005469D5"/>
    <w:rsid w:val="00552918"/>
    <w:rsid w:val="00563757"/>
    <w:rsid w:val="005639E2"/>
    <w:rsid w:val="005660F4"/>
    <w:rsid w:val="0056744A"/>
    <w:rsid w:val="00570502"/>
    <w:rsid w:val="00570532"/>
    <w:rsid w:val="005721E3"/>
    <w:rsid w:val="00572E02"/>
    <w:rsid w:val="00574572"/>
    <w:rsid w:val="00574A1C"/>
    <w:rsid w:val="00577067"/>
    <w:rsid w:val="00577D4A"/>
    <w:rsid w:val="00583384"/>
    <w:rsid w:val="00591DC5"/>
    <w:rsid w:val="00593545"/>
    <w:rsid w:val="00593AD7"/>
    <w:rsid w:val="00596AA0"/>
    <w:rsid w:val="00597188"/>
    <w:rsid w:val="00597C24"/>
    <w:rsid w:val="005A23DA"/>
    <w:rsid w:val="005A3BC3"/>
    <w:rsid w:val="005A6A45"/>
    <w:rsid w:val="005A6B82"/>
    <w:rsid w:val="005A77A0"/>
    <w:rsid w:val="005B0492"/>
    <w:rsid w:val="005B430E"/>
    <w:rsid w:val="005B4D2F"/>
    <w:rsid w:val="005B7D53"/>
    <w:rsid w:val="005C1056"/>
    <w:rsid w:val="005C134C"/>
    <w:rsid w:val="005C175C"/>
    <w:rsid w:val="005C4561"/>
    <w:rsid w:val="005D08FD"/>
    <w:rsid w:val="005D16D3"/>
    <w:rsid w:val="005D2036"/>
    <w:rsid w:val="005D36F3"/>
    <w:rsid w:val="005D4DB8"/>
    <w:rsid w:val="005D59A5"/>
    <w:rsid w:val="005D6258"/>
    <w:rsid w:val="005D6542"/>
    <w:rsid w:val="005D7E1B"/>
    <w:rsid w:val="005E1F0C"/>
    <w:rsid w:val="005E2A38"/>
    <w:rsid w:val="005E5DF5"/>
    <w:rsid w:val="005E775C"/>
    <w:rsid w:val="005F1BA7"/>
    <w:rsid w:val="005F3C9C"/>
    <w:rsid w:val="005F43BB"/>
    <w:rsid w:val="005F448E"/>
    <w:rsid w:val="005F5168"/>
    <w:rsid w:val="005F6F52"/>
    <w:rsid w:val="00602AD7"/>
    <w:rsid w:val="00603C08"/>
    <w:rsid w:val="0060466F"/>
    <w:rsid w:val="00605651"/>
    <w:rsid w:val="006073CC"/>
    <w:rsid w:val="0061012B"/>
    <w:rsid w:val="0061317C"/>
    <w:rsid w:val="006146B8"/>
    <w:rsid w:val="00614D7B"/>
    <w:rsid w:val="00615E97"/>
    <w:rsid w:val="0061794C"/>
    <w:rsid w:val="00617CE8"/>
    <w:rsid w:val="00617FDC"/>
    <w:rsid w:val="00621926"/>
    <w:rsid w:val="006234DA"/>
    <w:rsid w:val="006309E2"/>
    <w:rsid w:val="0063281C"/>
    <w:rsid w:val="0063305A"/>
    <w:rsid w:val="00633EA5"/>
    <w:rsid w:val="00637C0E"/>
    <w:rsid w:val="0064005B"/>
    <w:rsid w:val="006400CB"/>
    <w:rsid w:val="006404E5"/>
    <w:rsid w:val="00641721"/>
    <w:rsid w:val="00643583"/>
    <w:rsid w:val="00646F6C"/>
    <w:rsid w:val="006471A5"/>
    <w:rsid w:val="0065325D"/>
    <w:rsid w:val="0065334F"/>
    <w:rsid w:val="00653371"/>
    <w:rsid w:val="00653E35"/>
    <w:rsid w:val="006557C3"/>
    <w:rsid w:val="006558AB"/>
    <w:rsid w:val="006605E5"/>
    <w:rsid w:val="00662AEA"/>
    <w:rsid w:val="00666630"/>
    <w:rsid w:val="00681F52"/>
    <w:rsid w:val="0068641A"/>
    <w:rsid w:val="00686F8E"/>
    <w:rsid w:val="006911E4"/>
    <w:rsid w:val="0069188F"/>
    <w:rsid w:val="006955D4"/>
    <w:rsid w:val="00696E50"/>
    <w:rsid w:val="00697189"/>
    <w:rsid w:val="006A088A"/>
    <w:rsid w:val="006A491C"/>
    <w:rsid w:val="006A7B46"/>
    <w:rsid w:val="006B6A41"/>
    <w:rsid w:val="006C25ED"/>
    <w:rsid w:val="006C2CE9"/>
    <w:rsid w:val="006C331C"/>
    <w:rsid w:val="006C370E"/>
    <w:rsid w:val="006C4AA0"/>
    <w:rsid w:val="006C514E"/>
    <w:rsid w:val="006C5F29"/>
    <w:rsid w:val="006C6115"/>
    <w:rsid w:val="006D2DCF"/>
    <w:rsid w:val="006D2E20"/>
    <w:rsid w:val="006D3E31"/>
    <w:rsid w:val="006D54BB"/>
    <w:rsid w:val="006D6AD6"/>
    <w:rsid w:val="006E0191"/>
    <w:rsid w:val="006E18D8"/>
    <w:rsid w:val="006F38CA"/>
    <w:rsid w:val="006F3D78"/>
    <w:rsid w:val="006F3ED0"/>
    <w:rsid w:val="006F54F1"/>
    <w:rsid w:val="006F68C0"/>
    <w:rsid w:val="00700432"/>
    <w:rsid w:val="00702936"/>
    <w:rsid w:val="0070331F"/>
    <w:rsid w:val="00703F9D"/>
    <w:rsid w:val="00710DCD"/>
    <w:rsid w:val="00712660"/>
    <w:rsid w:val="00713C1C"/>
    <w:rsid w:val="00717F31"/>
    <w:rsid w:val="007201A7"/>
    <w:rsid w:val="00722B24"/>
    <w:rsid w:val="00724FB5"/>
    <w:rsid w:val="00726B9C"/>
    <w:rsid w:val="007314FA"/>
    <w:rsid w:val="00731C5C"/>
    <w:rsid w:val="00731CB2"/>
    <w:rsid w:val="007324DA"/>
    <w:rsid w:val="00733DD9"/>
    <w:rsid w:val="00734912"/>
    <w:rsid w:val="00734B56"/>
    <w:rsid w:val="00735597"/>
    <w:rsid w:val="00740089"/>
    <w:rsid w:val="00743AA4"/>
    <w:rsid w:val="00743CC3"/>
    <w:rsid w:val="00745893"/>
    <w:rsid w:val="00745F9C"/>
    <w:rsid w:val="00746D09"/>
    <w:rsid w:val="00750300"/>
    <w:rsid w:val="0075061E"/>
    <w:rsid w:val="00752392"/>
    <w:rsid w:val="00755249"/>
    <w:rsid w:val="00756556"/>
    <w:rsid w:val="0075727C"/>
    <w:rsid w:val="00757A7F"/>
    <w:rsid w:val="007633FE"/>
    <w:rsid w:val="00763DC5"/>
    <w:rsid w:val="0076547C"/>
    <w:rsid w:val="00772EDB"/>
    <w:rsid w:val="0077697F"/>
    <w:rsid w:val="00777997"/>
    <w:rsid w:val="00777C80"/>
    <w:rsid w:val="00780D68"/>
    <w:rsid w:val="00785DF2"/>
    <w:rsid w:val="007873B2"/>
    <w:rsid w:val="00791E98"/>
    <w:rsid w:val="007A1A8D"/>
    <w:rsid w:val="007A240F"/>
    <w:rsid w:val="007A478B"/>
    <w:rsid w:val="007A6AE6"/>
    <w:rsid w:val="007B3933"/>
    <w:rsid w:val="007B55E9"/>
    <w:rsid w:val="007C3EBC"/>
    <w:rsid w:val="007C4823"/>
    <w:rsid w:val="007C6070"/>
    <w:rsid w:val="007C71FD"/>
    <w:rsid w:val="007D1045"/>
    <w:rsid w:val="007D1D8F"/>
    <w:rsid w:val="007D23C8"/>
    <w:rsid w:val="007D3840"/>
    <w:rsid w:val="007E39E6"/>
    <w:rsid w:val="007E3EC3"/>
    <w:rsid w:val="007E52C1"/>
    <w:rsid w:val="007F4854"/>
    <w:rsid w:val="007F7D90"/>
    <w:rsid w:val="008005E9"/>
    <w:rsid w:val="0080064A"/>
    <w:rsid w:val="00802228"/>
    <w:rsid w:val="008040BB"/>
    <w:rsid w:val="00806220"/>
    <w:rsid w:val="008071BA"/>
    <w:rsid w:val="00807B0E"/>
    <w:rsid w:val="00811E73"/>
    <w:rsid w:val="008129C3"/>
    <w:rsid w:val="00815A1E"/>
    <w:rsid w:val="008206DC"/>
    <w:rsid w:val="008218B4"/>
    <w:rsid w:val="0082350E"/>
    <w:rsid w:val="008252AE"/>
    <w:rsid w:val="008275F6"/>
    <w:rsid w:val="008303C1"/>
    <w:rsid w:val="00830BAC"/>
    <w:rsid w:val="0083372A"/>
    <w:rsid w:val="00833F38"/>
    <w:rsid w:val="008346BB"/>
    <w:rsid w:val="00836F43"/>
    <w:rsid w:val="008375ED"/>
    <w:rsid w:val="00845714"/>
    <w:rsid w:val="00847C3C"/>
    <w:rsid w:val="00851880"/>
    <w:rsid w:val="00851ED3"/>
    <w:rsid w:val="008538AF"/>
    <w:rsid w:val="008579AF"/>
    <w:rsid w:val="008614F1"/>
    <w:rsid w:val="0086177D"/>
    <w:rsid w:val="00863F88"/>
    <w:rsid w:val="00864764"/>
    <w:rsid w:val="008649BB"/>
    <w:rsid w:val="00866537"/>
    <w:rsid w:val="00866C30"/>
    <w:rsid w:val="0086753A"/>
    <w:rsid w:val="00867C71"/>
    <w:rsid w:val="008726F0"/>
    <w:rsid w:val="00873B11"/>
    <w:rsid w:val="00873F20"/>
    <w:rsid w:val="008767EE"/>
    <w:rsid w:val="00877958"/>
    <w:rsid w:val="0088034C"/>
    <w:rsid w:val="00880FB6"/>
    <w:rsid w:val="008823C3"/>
    <w:rsid w:val="0088558D"/>
    <w:rsid w:val="00886645"/>
    <w:rsid w:val="008943B5"/>
    <w:rsid w:val="008955DF"/>
    <w:rsid w:val="008A0C92"/>
    <w:rsid w:val="008A10DF"/>
    <w:rsid w:val="008A40D4"/>
    <w:rsid w:val="008B08BA"/>
    <w:rsid w:val="008B0F36"/>
    <w:rsid w:val="008B1309"/>
    <w:rsid w:val="008B5799"/>
    <w:rsid w:val="008C079A"/>
    <w:rsid w:val="008C1061"/>
    <w:rsid w:val="008C2122"/>
    <w:rsid w:val="008C255E"/>
    <w:rsid w:val="008C49FD"/>
    <w:rsid w:val="008C4C0B"/>
    <w:rsid w:val="008C641F"/>
    <w:rsid w:val="008D010F"/>
    <w:rsid w:val="008D2DD8"/>
    <w:rsid w:val="008D47A1"/>
    <w:rsid w:val="008D78F0"/>
    <w:rsid w:val="008E5FF0"/>
    <w:rsid w:val="008E7BA6"/>
    <w:rsid w:val="008E7C65"/>
    <w:rsid w:val="008E7FA8"/>
    <w:rsid w:val="008F0566"/>
    <w:rsid w:val="008F133D"/>
    <w:rsid w:val="008F1F64"/>
    <w:rsid w:val="008F24C9"/>
    <w:rsid w:val="008F2D19"/>
    <w:rsid w:val="00901B43"/>
    <w:rsid w:val="00904ECD"/>
    <w:rsid w:val="00910774"/>
    <w:rsid w:val="00911271"/>
    <w:rsid w:val="00911A2A"/>
    <w:rsid w:val="009125BE"/>
    <w:rsid w:val="009151A4"/>
    <w:rsid w:val="00916640"/>
    <w:rsid w:val="009166CD"/>
    <w:rsid w:val="00916F17"/>
    <w:rsid w:val="00917477"/>
    <w:rsid w:val="0092498D"/>
    <w:rsid w:val="0092541D"/>
    <w:rsid w:val="00926640"/>
    <w:rsid w:val="00932321"/>
    <w:rsid w:val="0093268C"/>
    <w:rsid w:val="009346E0"/>
    <w:rsid w:val="00935897"/>
    <w:rsid w:val="009363F4"/>
    <w:rsid w:val="009404D4"/>
    <w:rsid w:val="00945452"/>
    <w:rsid w:val="00947018"/>
    <w:rsid w:val="00951BAF"/>
    <w:rsid w:val="00951FB8"/>
    <w:rsid w:val="009561B7"/>
    <w:rsid w:val="009568D8"/>
    <w:rsid w:val="00956ED1"/>
    <w:rsid w:val="009572E4"/>
    <w:rsid w:val="00957649"/>
    <w:rsid w:val="00957EC6"/>
    <w:rsid w:val="0096286B"/>
    <w:rsid w:val="009628A7"/>
    <w:rsid w:val="00963199"/>
    <w:rsid w:val="009716E6"/>
    <w:rsid w:val="00976E9F"/>
    <w:rsid w:val="00977E46"/>
    <w:rsid w:val="00980214"/>
    <w:rsid w:val="0098176A"/>
    <w:rsid w:val="009840B6"/>
    <w:rsid w:val="0098654D"/>
    <w:rsid w:val="009869DE"/>
    <w:rsid w:val="00986BBE"/>
    <w:rsid w:val="00990E5E"/>
    <w:rsid w:val="009918DF"/>
    <w:rsid w:val="00992D4F"/>
    <w:rsid w:val="00995A48"/>
    <w:rsid w:val="009967D6"/>
    <w:rsid w:val="00996993"/>
    <w:rsid w:val="009A04A4"/>
    <w:rsid w:val="009A094B"/>
    <w:rsid w:val="009A2765"/>
    <w:rsid w:val="009A6B80"/>
    <w:rsid w:val="009A6DB5"/>
    <w:rsid w:val="009B176F"/>
    <w:rsid w:val="009B1B5D"/>
    <w:rsid w:val="009B3121"/>
    <w:rsid w:val="009B3E91"/>
    <w:rsid w:val="009B65EA"/>
    <w:rsid w:val="009B7F66"/>
    <w:rsid w:val="009C01FD"/>
    <w:rsid w:val="009C3D34"/>
    <w:rsid w:val="009C4307"/>
    <w:rsid w:val="009D0328"/>
    <w:rsid w:val="009D0CA2"/>
    <w:rsid w:val="009D7503"/>
    <w:rsid w:val="009E027A"/>
    <w:rsid w:val="009E358B"/>
    <w:rsid w:val="009E370B"/>
    <w:rsid w:val="009F0A54"/>
    <w:rsid w:val="009F0D9E"/>
    <w:rsid w:val="009F22F9"/>
    <w:rsid w:val="009F26EA"/>
    <w:rsid w:val="009F32EF"/>
    <w:rsid w:val="009F3452"/>
    <w:rsid w:val="009F57F2"/>
    <w:rsid w:val="009F6356"/>
    <w:rsid w:val="009F745E"/>
    <w:rsid w:val="00A000B0"/>
    <w:rsid w:val="00A044B0"/>
    <w:rsid w:val="00A04D70"/>
    <w:rsid w:val="00A0678A"/>
    <w:rsid w:val="00A10705"/>
    <w:rsid w:val="00A14A81"/>
    <w:rsid w:val="00A15B5F"/>
    <w:rsid w:val="00A1754B"/>
    <w:rsid w:val="00A21892"/>
    <w:rsid w:val="00A2786E"/>
    <w:rsid w:val="00A27945"/>
    <w:rsid w:val="00A322A4"/>
    <w:rsid w:val="00A34F06"/>
    <w:rsid w:val="00A34FA0"/>
    <w:rsid w:val="00A35AFE"/>
    <w:rsid w:val="00A36638"/>
    <w:rsid w:val="00A37CDD"/>
    <w:rsid w:val="00A402AA"/>
    <w:rsid w:val="00A4099C"/>
    <w:rsid w:val="00A4257C"/>
    <w:rsid w:val="00A43ABA"/>
    <w:rsid w:val="00A4530D"/>
    <w:rsid w:val="00A4620A"/>
    <w:rsid w:val="00A47254"/>
    <w:rsid w:val="00A53CDC"/>
    <w:rsid w:val="00A54357"/>
    <w:rsid w:val="00A566B3"/>
    <w:rsid w:val="00A5758B"/>
    <w:rsid w:val="00A606CC"/>
    <w:rsid w:val="00A61D33"/>
    <w:rsid w:val="00A62681"/>
    <w:rsid w:val="00A67454"/>
    <w:rsid w:val="00A7061E"/>
    <w:rsid w:val="00A7089E"/>
    <w:rsid w:val="00A7125C"/>
    <w:rsid w:val="00A72935"/>
    <w:rsid w:val="00A75B82"/>
    <w:rsid w:val="00A81CD0"/>
    <w:rsid w:val="00A82441"/>
    <w:rsid w:val="00A82FC4"/>
    <w:rsid w:val="00A877A4"/>
    <w:rsid w:val="00A90E76"/>
    <w:rsid w:val="00A9289A"/>
    <w:rsid w:val="00AA2E58"/>
    <w:rsid w:val="00AB3F5D"/>
    <w:rsid w:val="00AB47D1"/>
    <w:rsid w:val="00AB50BA"/>
    <w:rsid w:val="00AB5A13"/>
    <w:rsid w:val="00AB7023"/>
    <w:rsid w:val="00AC0015"/>
    <w:rsid w:val="00AC278B"/>
    <w:rsid w:val="00AC6A2C"/>
    <w:rsid w:val="00AC6ED3"/>
    <w:rsid w:val="00AD27B3"/>
    <w:rsid w:val="00AD637B"/>
    <w:rsid w:val="00AE0675"/>
    <w:rsid w:val="00AE38A1"/>
    <w:rsid w:val="00AE598D"/>
    <w:rsid w:val="00AE5DC8"/>
    <w:rsid w:val="00AE7790"/>
    <w:rsid w:val="00AF05FC"/>
    <w:rsid w:val="00AF170F"/>
    <w:rsid w:val="00AF2203"/>
    <w:rsid w:val="00AF49D0"/>
    <w:rsid w:val="00AF4A4A"/>
    <w:rsid w:val="00B04496"/>
    <w:rsid w:val="00B06ED5"/>
    <w:rsid w:val="00B06EDF"/>
    <w:rsid w:val="00B13347"/>
    <w:rsid w:val="00B14B9C"/>
    <w:rsid w:val="00B14D3D"/>
    <w:rsid w:val="00B14F4B"/>
    <w:rsid w:val="00B15DD4"/>
    <w:rsid w:val="00B17920"/>
    <w:rsid w:val="00B20956"/>
    <w:rsid w:val="00B2348F"/>
    <w:rsid w:val="00B237B7"/>
    <w:rsid w:val="00B2561A"/>
    <w:rsid w:val="00B25DC1"/>
    <w:rsid w:val="00B3348C"/>
    <w:rsid w:val="00B3378C"/>
    <w:rsid w:val="00B33D29"/>
    <w:rsid w:val="00B348AA"/>
    <w:rsid w:val="00B35486"/>
    <w:rsid w:val="00B359DB"/>
    <w:rsid w:val="00B369A5"/>
    <w:rsid w:val="00B37BC5"/>
    <w:rsid w:val="00B46AD8"/>
    <w:rsid w:val="00B54F55"/>
    <w:rsid w:val="00B55CC3"/>
    <w:rsid w:val="00B55E34"/>
    <w:rsid w:val="00B62649"/>
    <w:rsid w:val="00B665C3"/>
    <w:rsid w:val="00B667BC"/>
    <w:rsid w:val="00B67414"/>
    <w:rsid w:val="00B67D6A"/>
    <w:rsid w:val="00B70AF3"/>
    <w:rsid w:val="00B71C51"/>
    <w:rsid w:val="00B75450"/>
    <w:rsid w:val="00B75CC3"/>
    <w:rsid w:val="00B76CC2"/>
    <w:rsid w:val="00B7794C"/>
    <w:rsid w:val="00B80424"/>
    <w:rsid w:val="00B8125B"/>
    <w:rsid w:val="00B82BBB"/>
    <w:rsid w:val="00B91282"/>
    <w:rsid w:val="00B94000"/>
    <w:rsid w:val="00B95E43"/>
    <w:rsid w:val="00BA553E"/>
    <w:rsid w:val="00BA778A"/>
    <w:rsid w:val="00BB3EA0"/>
    <w:rsid w:val="00BB6012"/>
    <w:rsid w:val="00BB76DF"/>
    <w:rsid w:val="00BC16E2"/>
    <w:rsid w:val="00BC3BA7"/>
    <w:rsid w:val="00BC48A9"/>
    <w:rsid w:val="00BC4C93"/>
    <w:rsid w:val="00BD1702"/>
    <w:rsid w:val="00BD31DD"/>
    <w:rsid w:val="00BD6BFA"/>
    <w:rsid w:val="00BD7E2B"/>
    <w:rsid w:val="00BE7513"/>
    <w:rsid w:val="00BE77CE"/>
    <w:rsid w:val="00BF2278"/>
    <w:rsid w:val="00BF2E63"/>
    <w:rsid w:val="00BF4899"/>
    <w:rsid w:val="00BF4BFE"/>
    <w:rsid w:val="00BF5013"/>
    <w:rsid w:val="00C00C78"/>
    <w:rsid w:val="00C01AFA"/>
    <w:rsid w:val="00C021A8"/>
    <w:rsid w:val="00C04D04"/>
    <w:rsid w:val="00C0750E"/>
    <w:rsid w:val="00C10A56"/>
    <w:rsid w:val="00C10DEB"/>
    <w:rsid w:val="00C12D9E"/>
    <w:rsid w:val="00C16BAB"/>
    <w:rsid w:val="00C20038"/>
    <w:rsid w:val="00C206E7"/>
    <w:rsid w:val="00C220BF"/>
    <w:rsid w:val="00C22122"/>
    <w:rsid w:val="00C24118"/>
    <w:rsid w:val="00C24EB5"/>
    <w:rsid w:val="00C31296"/>
    <w:rsid w:val="00C3230A"/>
    <w:rsid w:val="00C40018"/>
    <w:rsid w:val="00C413BD"/>
    <w:rsid w:val="00C414C4"/>
    <w:rsid w:val="00C4293B"/>
    <w:rsid w:val="00C43536"/>
    <w:rsid w:val="00C44ED1"/>
    <w:rsid w:val="00C454E1"/>
    <w:rsid w:val="00C469D3"/>
    <w:rsid w:val="00C46BC6"/>
    <w:rsid w:val="00C50159"/>
    <w:rsid w:val="00C50909"/>
    <w:rsid w:val="00C539A6"/>
    <w:rsid w:val="00C53B34"/>
    <w:rsid w:val="00C56CD4"/>
    <w:rsid w:val="00C56E15"/>
    <w:rsid w:val="00C5707E"/>
    <w:rsid w:val="00C60060"/>
    <w:rsid w:val="00C6575B"/>
    <w:rsid w:val="00C66B10"/>
    <w:rsid w:val="00C7001B"/>
    <w:rsid w:val="00C733B5"/>
    <w:rsid w:val="00C73723"/>
    <w:rsid w:val="00C740B7"/>
    <w:rsid w:val="00C7463A"/>
    <w:rsid w:val="00C80517"/>
    <w:rsid w:val="00C81AA2"/>
    <w:rsid w:val="00C82907"/>
    <w:rsid w:val="00C83FE2"/>
    <w:rsid w:val="00C878E4"/>
    <w:rsid w:val="00C91393"/>
    <w:rsid w:val="00C92DAE"/>
    <w:rsid w:val="00C93341"/>
    <w:rsid w:val="00C94E19"/>
    <w:rsid w:val="00CA075C"/>
    <w:rsid w:val="00CA3E77"/>
    <w:rsid w:val="00CA4CCE"/>
    <w:rsid w:val="00CA7395"/>
    <w:rsid w:val="00CB06E3"/>
    <w:rsid w:val="00CB36DC"/>
    <w:rsid w:val="00CB6FD4"/>
    <w:rsid w:val="00CC1ACD"/>
    <w:rsid w:val="00CC1CC7"/>
    <w:rsid w:val="00CC2BE0"/>
    <w:rsid w:val="00CC7A9B"/>
    <w:rsid w:val="00CD01B3"/>
    <w:rsid w:val="00CD36E6"/>
    <w:rsid w:val="00CD6315"/>
    <w:rsid w:val="00CD6A83"/>
    <w:rsid w:val="00CE59C8"/>
    <w:rsid w:val="00CF00DD"/>
    <w:rsid w:val="00CF3733"/>
    <w:rsid w:val="00CF6B89"/>
    <w:rsid w:val="00CF7332"/>
    <w:rsid w:val="00CF739F"/>
    <w:rsid w:val="00CF7C56"/>
    <w:rsid w:val="00D0082C"/>
    <w:rsid w:val="00D00E4B"/>
    <w:rsid w:val="00D01494"/>
    <w:rsid w:val="00D04120"/>
    <w:rsid w:val="00D048D2"/>
    <w:rsid w:val="00D07E35"/>
    <w:rsid w:val="00D1304F"/>
    <w:rsid w:val="00D1384E"/>
    <w:rsid w:val="00D15028"/>
    <w:rsid w:val="00D1562C"/>
    <w:rsid w:val="00D1725C"/>
    <w:rsid w:val="00D17E13"/>
    <w:rsid w:val="00D20E58"/>
    <w:rsid w:val="00D25E24"/>
    <w:rsid w:val="00D25E5A"/>
    <w:rsid w:val="00D26C2C"/>
    <w:rsid w:val="00D279B0"/>
    <w:rsid w:val="00D30908"/>
    <w:rsid w:val="00D31DDC"/>
    <w:rsid w:val="00D3365D"/>
    <w:rsid w:val="00D352F9"/>
    <w:rsid w:val="00D363F8"/>
    <w:rsid w:val="00D37513"/>
    <w:rsid w:val="00D40F45"/>
    <w:rsid w:val="00D4160F"/>
    <w:rsid w:val="00D416A6"/>
    <w:rsid w:val="00D449FF"/>
    <w:rsid w:val="00D4524B"/>
    <w:rsid w:val="00D45957"/>
    <w:rsid w:val="00D46C04"/>
    <w:rsid w:val="00D478E6"/>
    <w:rsid w:val="00D47A74"/>
    <w:rsid w:val="00D47EDA"/>
    <w:rsid w:val="00D47EE0"/>
    <w:rsid w:val="00D52A46"/>
    <w:rsid w:val="00D52C4F"/>
    <w:rsid w:val="00D52D56"/>
    <w:rsid w:val="00D57C9A"/>
    <w:rsid w:val="00D6153E"/>
    <w:rsid w:val="00D6158C"/>
    <w:rsid w:val="00D61944"/>
    <w:rsid w:val="00D628B2"/>
    <w:rsid w:val="00D64437"/>
    <w:rsid w:val="00D6575A"/>
    <w:rsid w:val="00D706A8"/>
    <w:rsid w:val="00D71D7F"/>
    <w:rsid w:val="00D72776"/>
    <w:rsid w:val="00D730B2"/>
    <w:rsid w:val="00D7509B"/>
    <w:rsid w:val="00D76608"/>
    <w:rsid w:val="00D76813"/>
    <w:rsid w:val="00D7772A"/>
    <w:rsid w:val="00D77CED"/>
    <w:rsid w:val="00D77E75"/>
    <w:rsid w:val="00D82218"/>
    <w:rsid w:val="00D84488"/>
    <w:rsid w:val="00D84E43"/>
    <w:rsid w:val="00D8775F"/>
    <w:rsid w:val="00D91103"/>
    <w:rsid w:val="00DA0544"/>
    <w:rsid w:val="00DA0EC7"/>
    <w:rsid w:val="00DA3603"/>
    <w:rsid w:val="00DA4744"/>
    <w:rsid w:val="00DA4C02"/>
    <w:rsid w:val="00DA7A4C"/>
    <w:rsid w:val="00DB2BEF"/>
    <w:rsid w:val="00DB61FF"/>
    <w:rsid w:val="00DB73CF"/>
    <w:rsid w:val="00DB741F"/>
    <w:rsid w:val="00DC0A18"/>
    <w:rsid w:val="00DC0F16"/>
    <w:rsid w:val="00DC1D29"/>
    <w:rsid w:val="00DC305F"/>
    <w:rsid w:val="00DC74C2"/>
    <w:rsid w:val="00DC757C"/>
    <w:rsid w:val="00DD2EBF"/>
    <w:rsid w:val="00DD69A5"/>
    <w:rsid w:val="00DE0D13"/>
    <w:rsid w:val="00DE7C9A"/>
    <w:rsid w:val="00DE7CAF"/>
    <w:rsid w:val="00DF0DFE"/>
    <w:rsid w:val="00DF37E6"/>
    <w:rsid w:val="00E03253"/>
    <w:rsid w:val="00E04E6A"/>
    <w:rsid w:val="00E05A51"/>
    <w:rsid w:val="00E15EA0"/>
    <w:rsid w:val="00E1789D"/>
    <w:rsid w:val="00E2016E"/>
    <w:rsid w:val="00E20A2C"/>
    <w:rsid w:val="00E2406B"/>
    <w:rsid w:val="00E2423B"/>
    <w:rsid w:val="00E24391"/>
    <w:rsid w:val="00E32429"/>
    <w:rsid w:val="00E355C4"/>
    <w:rsid w:val="00E358EA"/>
    <w:rsid w:val="00E372D3"/>
    <w:rsid w:val="00E4135A"/>
    <w:rsid w:val="00E444AB"/>
    <w:rsid w:val="00E45718"/>
    <w:rsid w:val="00E468FC"/>
    <w:rsid w:val="00E46DB1"/>
    <w:rsid w:val="00E53555"/>
    <w:rsid w:val="00E57069"/>
    <w:rsid w:val="00E650D2"/>
    <w:rsid w:val="00E65F06"/>
    <w:rsid w:val="00E7029B"/>
    <w:rsid w:val="00E70CD8"/>
    <w:rsid w:val="00E72884"/>
    <w:rsid w:val="00E74B86"/>
    <w:rsid w:val="00E768C3"/>
    <w:rsid w:val="00E76AB2"/>
    <w:rsid w:val="00E776E5"/>
    <w:rsid w:val="00E77E77"/>
    <w:rsid w:val="00E80099"/>
    <w:rsid w:val="00E830CD"/>
    <w:rsid w:val="00E85900"/>
    <w:rsid w:val="00E86997"/>
    <w:rsid w:val="00E90E81"/>
    <w:rsid w:val="00E91DF3"/>
    <w:rsid w:val="00E929F8"/>
    <w:rsid w:val="00E92BE7"/>
    <w:rsid w:val="00E946F1"/>
    <w:rsid w:val="00E97FBE"/>
    <w:rsid w:val="00EA03BC"/>
    <w:rsid w:val="00EA1A10"/>
    <w:rsid w:val="00EA48E7"/>
    <w:rsid w:val="00EB153A"/>
    <w:rsid w:val="00EB44F3"/>
    <w:rsid w:val="00EB4E6E"/>
    <w:rsid w:val="00EB5009"/>
    <w:rsid w:val="00EB62B2"/>
    <w:rsid w:val="00EC117D"/>
    <w:rsid w:val="00EC3FB0"/>
    <w:rsid w:val="00ED02E1"/>
    <w:rsid w:val="00ED1E2F"/>
    <w:rsid w:val="00ED2B25"/>
    <w:rsid w:val="00ED2DFF"/>
    <w:rsid w:val="00ED3FD0"/>
    <w:rsid w:val="00ED7289"/>
    <w:rsid w:val="00EE1DAC"/>
    <w:rsid w:val="00EE4B71"/>
    <w:rsid w:val="00EE5157"/>
    <w:rsid w:val="00EE5658"/>
    <w:rsid w:val="00EE70C6"/>
    <w:rsid w:val="00EF0D9F"/>
    <w:rsid w:val="00EF13BC"/>
    <w:rsid w:val="00EF52D6"/>
    <w:rsid w:val="00EF7C4E"/>
    <w:rsid w:val="00F0250E"/>
    <w:rsid w:val="00F03EC6"/>
    <w:rsid w:val="00F06BB8"/>
    <w:rsid w:val="00F10827"/>
    <w:rsid w:val="00F14A61"/>
    <w:rsid w:val="00F15EF7"/>
    <w:rsid w:val="00F16558"/>
    <w:rsid w:val="00F16DF3"/>
    <w:rsid w:val="00F175EE"/>
    <w:rsid w:val="00F2019A"/>
    <w:rsid w:val="00F2312D"/>
    <w:rsid w:val="00F244DB"/>
    <w:rsid w:val="00F257E1"/>
    <w:rsid w:val="00F272E4"/>
    <w:rsid w:val="00F27BBA"/>
    <w:rsid w:val="00F31789"/>
    <w:rsid w:val="00F31877"/>
    <w:rsid w:val="00F33D2B"/>
    <w:rsid w:val="00F349B2"/>
    <w:rsid w:val="00F3691F"/>
    <w:rsid w:val="00F36D2F"/>
    <w:rsid w:val="00F3786F"/>
    <w:rsid w:val="00F4208D"/>
    <w:rsid w:val="00F47100"/>
    <w:rsid w:val="00F514B4"/>
    <w:rsid w:val="00F51A7F"/>
    <w:rsid w:val="00F523DE"/>
    <w:rsid w:val="00F5260A"/>
    <w:rsid w:val="00F5372F"/>
    <w:rsid w:val="00F55808"/>
    <w:rsid w:val="00F572CC"/>
    <w:rsid w:val="00F600F0"/>
    <w:rsid w:val="00F63985"/>
    <w:rsid w:val="00F651FA"/>
    <w:rsid w:val="00F65DD3"/>
    <w:rsid w:val="00F65EA6"/>
    <w:rsid w:val="00F66656"/>
    <w:rsid w:val="00F66732"/>
    <w:rsid w:val="00F7104A"/>
    <w:rsid w:val="00F711BD"/>
    <w:rsid w:val="00F7541F"/>
    <w:rsid w:val="00F754BB"/>
    <w:rsid w:val="00F763BA"/>
    <w:rsid w:val="00F77F20"/>
    <w:rsid w:val="00F802C1"/>
    <w:rsid w:val="00F84713"/>
    <w:rsid w:val="00F84DA2"/>
    <w:rsid w:val="00F931B6"/>
    <w:rsid w:val="00F93E9C"/>
    <w:rsid w:val="00F94744"/>
    <w:rsid w:val="00F96832"/>
    <w:rsid w:val="00FA05AE"/>
    <w:rsid w:val="00FA1DB6"/>
    <w:rsid w:val="00FA444A"/>
    <w:rsid w:val="00FB05CE"/>
    <w:rsid w:val="00FB363C"/>
    <w:rsid w:val="00FC049E"/>
    <w:rsid w:val="00FC0A33"/>
    <w:rsid w:val="00FC566F"/>
    <w:rsid w:val="00FC6918"/>
    <w:rsid w:val="00FD0066"/>
    <w:rsid w:val="00FD16B3"/>
    <w:rsid w:val="00FD2808"/>
    <w:rsid w:val="00FD47A9"/>
    <w:rsid w:val="00FD4FF8"/>
    <w:rsid w:val="00FD6AAD"/>
    <w:rsid w:val="00FD7208"/>
    <w:rsid w:val="00FE3BA1"/>
    <w:rsid w:val="00FF14F6"/>
    <w:rsid w:val="00FF1B6F"/>
    <w:rsid w:val="00FF4491"/>
    <w:rsid w:val="00FF646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23DEA52"/>
  <w14:defaultImageDpi w14:val="330"/>
  <w15:chartTrackingRefBased/>
  <w15:docId w15:val="{F27F3646-AB0C-444C-9833-034D50E862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807B0E"/>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807B0E"/>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807B0E"/>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807B0E"/>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807B0E"/>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807B0E"/>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807B0E"/>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807B0E"/>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807B0E"/>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07B0E"/>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807B0E"/>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807B0E"/>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807B0E"/>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807B0E"/>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807B0E"/>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807B0E"/>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807B0E"/>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807B0E"/>
    <w:rPr>
      <w:rFonts w:eastAsiaTheme="majorEastAsia" w:cstheme="majorBidi"/>
      <w:color w:val="272727" w:themeColor="text1" w:themeTint="D8"/>
    </w:rPr>
  </w:style>
  <w:style w:type="paragraph" w:styleId="Title">
    <w:name w:val="Title"/>
    <w:basedOn w:val="Normal"/>
    <w:next w:val="Normal"/>
    <w:link w:val="TitleChar"/>
    <w:uiPriority w:val="10"/>
    <w:qFormat/>
    <w:rsid w:val="00807B0E"/>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07B0E"/>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807B0E"/>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807B0E"/>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807B0E"/>
    <w:pPr>
      <w:spacing w:before="160"/>
      <w:jc w:val="center"/>
    </w:pPr>
    <w:rPr>
      <w:i/>
      <w:iCs/>
      <w:color w:val="404040" w:themeColor="text1" w:themeTint="BF"/>
    </w:rPr>
  </w:style>
  <w:style w:type="character" w:customStyle="1" w:styleId="QuoteChar">
    <w:name w:val="Quote Char"/>
    <w:basedOn w:val="DefaultParagraphFont"/>
    <w:link w:val="Quote"/>
    <w:uiPriority w:val="29"/>
    <w:rsid w:val="00807B0E"/>
    <w:rPr>
      <w:i/>
      <w:iCs/>
      <w:color w:val="404040" w:themeColor="text1" w:themeTint="BF"/>
    </w:rPr>
  </w:style>
  <w:style w:type="paragraph" w:styleId="ListParagraph">
    <w:name w:val="List Paragraph"/>
    <w:basedOn w:val="Normal"/>
    <w:uiPriority w:val="34"/>
    <w:qFormat/>
    <w:rsid w:val="00807B0E"/>
    <w:pPr>
      <w:ind w:left="720"/>
      <w:contextualSpacing/>
    </w:pPr>
  </w:style>
  <w:style w:type="character" w:styleId="IntenseEmphasis">
    <w:name w:val="Intense Emphasis"/>
    <w:basedOn w:val="DefaultParagraphFont"/>
    <w:uiPriority w:val="21"/>
    <w:qFormat/>
    <w:rsid w:val="00807B0E"/>
    <w:rPr>
      <w:i/>
      <w:iCs/>
      <w:color w:val="0F4761" w:themeColor="accent1" w:themeShade="BF"/>
    </w:rPr>
  </w:style>
  <w:style w:type="paragraph" w:styleId="IntenseQuote">
    <w:name w:val="Intense Quote"/>
    <w:basedOn w:val="Normal"/>
    <w:next w:val="Normal"/>
    <w:link w:val="IntenseQuoteChar"/>
    <w:uiPriority w:val="30"/>
    <w:qFormat/>
    <w:rsid w:val="00807B0E"/>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807B0E"/>
    <w:rPr>
      <w:i/>
      <w:iCs/>
      <w:color w:val="0F4761" w:themeColor="accent1" w:themeShade="BF"/>
    </w:rPr>
  </w:style>
  <w:style w:type="character" w:styleId="IntenseReference">
    <w:name w:val="Intense Reference"/>
    <w:basedOn w:val="DefaultParagraphFont"/>
    <w:uiPriority w:val="32"/>
    <w:qFormat/>
    <w:rsid w:val="00807B0E"/>
    <w:rPr>
      <w:b/>
      <w:bCs/>
      <w:smallCaps/>
      <w:color w:val="0F4761" w:themeColor="accent1" w:themeShade="BF"/>
      <w:spacing w:val="5"/>
    </w:rPr>
  </w:style>
  <w:style w:type="paragraph" w:styleId="Header">
    <w:name w:val="header"/>
    <w:basedOn w:val="Normal"/>
    <w:link w:val="HeaderChar"/>
    <w:uiPriority w:val="99"/>
    <w:unhideWhenUsed/>
    <w:rsid w:val="008C641F"/>
    <w:pPr>
      <w:tabs>
        <w:tab w:val="center" w:pos="4680"/>
        <w:tab w:val="right" w:pos="9360"/>
      </w:tabs>
      <w:spacing w:after="0" w:line="240" w:lineRule="auto"/>
    </w:pPr>
  </w:style>
  <w:style w:type="character" w:customStyle="1" w:styleId="HeaderChar">
    <w:name w:val="Header Char"/>
    <w:basedOn w:val="DefaultParagraphFont"/>
    <w:link w:val="Header"/>
    <w:uiPriority w:val="99"/>
    <w:rsid w:val="008C641F"/>
  </w:style>
  <w:style w:type="paragraph" w:styleId="Footer">
    <w:name w:val="footer"/>
    <w:basedOn w:val="Normal"/>
    <w:link w:val="FooterChar"/>
    <w:uiPriority w:val="99"/>
    <w:unhideWhenUsed/>
    <w:rsid w:val="008C641F"/>
    <w:pPr>
      <w:tabs>
        <w:tab w:val="center" w:pos="4680"/>
        <w:tab w:val="right" w:pos="9360"/>
      </w:tabs>
      <w:spacing w:after="0" w:line="240" w:lineRule="auto"/>
    </w:pPr>
  </w:style>
  <w:style w:type="character" w:customStyle="1" w:styleId="FooterChar">
    <w:name w:val="Footer Char"/>
    <w:basedOn w:val="DefaultParagraphFont"/>
    <w:link w:val="Footer"/>
    <w:uiPriority w:val="99"/>
    <w:rsid w:val="008C641F"/>
  </w:style>
  <w:style w:type="paragraph" w:styleId="Caption">
    <w:name w:val="caption"/>
    <w:basedOn w:val="Normal"/>
    <w:next w:val="Normal"/>
    <w:uiPriority w:val="35"/>
    <w:unhideWhenUsed/>
    <w:qFormat/>
    <w:rsid w:val="008C641F"/>
    <w:pPr>
      <w:spacing w:after="200" w:line="240" w:lineRule="auto"/>
    </w:pPr>
    <w:rPr>
      <w:i/>
      <w:iCs/>
      <w:color w:val="0E2841" w:themeColor="text2"/>
      <w:sz w:val="18"/>
      <w:szCs w:val="18"/>
    </w:rPr>
  </w:style>
  <w:style w:type="character" w:styleId="Hyperlink">
    <w:name w:val="Hyperlink"/>
    <w:basedOn w:val="DefaultParagraphFont"/>
    <w:uiPriority w:val="99"/>
    <w:unhideWhenUsed/>
    <w:rsid w:val="004436B8"/>
    <w:rPr>
      <w:color w:val="467886" w:themeColor="hyperlink"/>
      <w:u w:val="single"/>
    </w:rPr>
  </w:style>
  <w:style w:type="character" w:styleId="UnresolvedMention">
    <w:name w:val="Unresolved Mention"/>
    <w:basedOn w:val="DefaultParagraphFont"/>
    <w:uiPriority w:val="99"/>
    <w:semiHidden/>
    <w:unhideWhenUsed/>
    <w:rsid w:val="004436B8"/>
    <w:rPr>
      <w:color w:val="605E5C"/>
      <w:shd w:val="clear" w:color="auto" w:fill="E1DFDD"/>
    </w:rPr>
  </w:style>
  <w:style w:type="character" w:styleId="FollowedHyperlink">
    <w:name w:val="FollowedHyperlink"/>
    <w:basedOn w:val="DefaultParagraphFont"/>
    <w:uiPriority w:val="99"/>
    <w:semiHidden/>
    <w:unhideWhenUsed/>
    <w:rsid w:val="00254FFE"/>
    <w:rPr>
      <w:color w:val="96607D" w:themeColor="followedHyperlink"/>
      <w:u w:val="single"/>
    </w:rPr>
  </w:style>
  <w:style w:type="paragraph" w:styleId="NormalWeb">
    <w:name w:val="Normal (Web)"/>
    <w:basedOn w:val="Normal"/>
    <w:uiPriority w:val="99"/>
    <w:semiHidden/>
    <w:unhideWhenUsed/>
    <w:rsid w:val="000B5F4A"/>
    <w:pPr>
      <w:spacing w:before="100" w:beforeAutospacing="1" w:after="100" w:afterAutospacing="1" w:line="240" w:lineRule="auto"/>
    </w:pPr>
    <w:rPr>
      <w:rFonts w:ascii="Times New Roman" w:eastAsia="Times New Roman" w:hAnsi="Times New Roman" w:cs="Times New Roman"/>
      <w:kern w:val="0"/>
      <w14:ligatures w14:val="none"/>
    </w:rPr>
  </w:style>
  <w:style w:type="character" w:styleId="PlaceholderText">
    <w:name w:val="Placeholder Text"/>
    <w:basedOn w:val="DefaultParagraphFont"/>
    <w:uiPriority w:val="99"/>
    <w:semiHidden/>
    <w:rsid w:val="00700432"/>
    <w:rPr>
      <w:color w:val="666666"/>
    </w:rPr>
  </w:style>
  <w:style w:type="table" w:styleId="TableGrid">
    <w:name w:val="Table Grid"/>
    <w:basedOn w:val="TableNormal"/>
    <w:uiPriority w:val="39"/>
    <w:rsid w:val="00080ED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18111714">
      <w:bodyDiv w:val="1"/>
      <w:marLeft w:val="0"/>
      <w:marRight w:val="0"/>
      <w:marTop w:val="0"/>
      <w:marBottom w:val="0"/>
      <w:divBdr>
        <w:top w:val="none" w:sz="0" w:space="0" w:color="auto"/>
        <w:left w:val="none" w:sz="0" w:space="0" w:color="auto"/>
        <w:bottom w:val="none" w:sz="0" w:space="0" w:color="auto"/>
        <w:right w:val="none" w:sz="0" w:space="0" w:color="auto"/>
      </w:divBdr>
    </w:div>
    <w:div w:id="14627726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s>
</file>

<file path=word/_rels/footer1.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74A1C7F-0932-4410-884A-16051FA094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95</TotalTime>
  <Pages>5</Pages>
  <Words>1688</Words>
  <Characters>9626</Characters>
  <Application>Microsoft Office Word</Application>
  <DocSecurity>0</DocSecurity>
  <Lines>80</Lines>
  <Paragraphs>22</Paragraphs>
  <ScaleCrop>false</ScaleCrop>
  <HeadingPairs>
    <vt:vector size="2" baseType="variant">
      <vt:variant>
        <vt:lpstr>Title</vt:lpstr>
      </vt:variant>
      <vt:variant>
        <vt:i4>1</vt:i4>
      </vt:variant>
    </vt:vector>
  </HeadingPairs>
  <TitlesOfParts>
    <vt:vector size="1" baseType="lpstr">
      <vt:lpstr>Transformer Capacity Sizing</vt:lpstr>
    </vt:vector>
  </TitlesOfParts>
  <Company/>
  <LinksUpToDate>false</LinksUpToDate>
  <CharactersWithSpaces>11292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Transformer Capacity Sizing</dc:title>
  <dc:subject/>
  <dc:creator>Norbert Doerry</dc:creator>
  <cp:keywords/>
  <dc:description/>
  <cp:lastModifiedBy>Norbert Doerry</cp:lastModifiedBy>
  <cp:revision>9</cp:revision>
  <cp:lastPrinted>2026-03-09T12:42:00Z</cp:lastPrinted>
  <dcterms:created xsi:type="dcterms:W3CDTF">2026-04-23T23:03:00Z</dcterms:created>
  <dcterms:modified xsi:type="dcterms:W3CDTF">2026-04-25T13:03:00Z</dcterms:modified>
</cp:coreProperties>
</file>